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1BD2" w14:textId="782DFE22" w:rsidR="00861169" w:rsidRPr="00861169" w:rsidRDefault="00861169" w:rsidP="00861169">
      <w:pPr>
        <w:spacing w:line="579" w:lineRule="exact"/>
        <w:jc w:val="left"/>
        <w:rPr>
          <w:rFonts w:ascii="方正小标宋_GBK" w:eastAsia="方正小标宋_GBK" w:hAnsi="Times New Roman" w:cs="Times New Roman" w:hint="eastAsia"/>
          <w:bCs/>
          <w:sz w:val="32"/>
          <w:szCs w:val="32"/>
        </w:rPr>
      </w:pPr>
      <w:r w:rsidRPr="00861169">
        <w:rPr>
          <w:rFonts w:ascii="方正小标宋_GBK" w:eastAsia="方正小标宋_GBK" w:hAnsi="Times New Roman" w:cs="Times New Roman" w:hint="eastAsia"/>
          <w:bCs/>
          <w:sz w:val="32"/>
          <w:szCs w:val="32"/>
        </w:rPr>
        <w:t>附件</w:t>
      </w:r>
    </w:p>
    <w:p w14:paraId="5BFF82D3" w14:textId="22FDE605" w:rsidR="00E7170D" w:rsidRDefault="00837DBC">
      <w:pPr>
        <w:spacing w:line="579"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保安行业保险机制创新服务</w:t>
      </w:r>
      <w:r>
        <w:rPr>
          <w:rFonts w:ascii="Times New Roman" w:eastAsia="方正小标宋简体" w:hAnsi="Times New Roman" w:cs="Times New Roman"/>
          <w:bCs/>
          <w:sz w:val="44"/>
          <w:szCs w:val="44"/>
        </w:rPr>
        <w:t>方案</w:t>
      </w:r>
    </w:p>
    <w:p w14:paraId="744AB9FB" w14:textId="77777777" w:rsidR="00E7170D" w:rsidRDefault="00837DBC">
      <w:pPr>
        <w:spacing w:line="579" w:lineRule="exact"/>
        <w:jc w:val="center"/>
        <w:rPr>
          <w:rFonts w:ascii="Times New Roman" w:hAnsi="Times New Roman" w:cs="Times New Roman"/>
          <w:bCs/>
          <w:sz w:val="32"/>
          <w:szCs w:val="32"/>
        </w:rPr>
      </w:pPr>
      <w:r>
        <w:rPr>
          <w:rFonts w:ascii="Times New Roman" w:hAnsi="Times New Roman" w:cs="Times New Roman"/>
          <w:bCs/>
          <w:sz w:val="32"/>
          <w:szCs w:val="32"/>
        </w:rPr>
        <w:t>（</w:t>
      </w:r>
      <w:r>
        <w:rPr>
          <w:rFonts w:ascii="Times New Roman" w:hAnsi="Times New Roman" w:cs="Times New Roman"/>
          <w:bCs/>
          <w:sz w:val="32"/>
          <w:szCs w:val="32"/>
        </w:rPr>
        <w:t>征求意见</w:t>
      </w:r>
      <w:r>
        <w:rPr>
          <w:rFonts w:ascii="Times New Roman" w:hAnsi="Times New Roman" w:cs="Times New Roman"/>
          <w:bCs/>
          <w:sz w:val="32"/>
          <w:szCs w:val="32"/>
        </w:rPr>
        <w:t>稿）</w:t>
      </w:r>
    </w:p>
    <w:p w14:paraId="71CDD083" w14:textId="77777777" w:rsidR="00E7170D" w:rsidRDefault="00E7170D">
      <w:pPr>
        <w:spacing w:line="579" w:lineRule="exact"/>
        <w:jc w:val="center"/>
        <w:rPr>
          <w:rFonts w:ascii="Times New Roman" w:hAnsi="Times New Roman" w:cs="Times New Roman"/>
          <w:bCs/>
          <w:sz w:val="32"/>
          <w:szCs w:val="32"/>
        </w:rPr>
      </w:pPr>
    </w:p>
    <w:p w14:paraId="7FC51504"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为深入贯彻落实习近平总书记关于总体国家安全观和建设平安中国的重要指示精神，</w:t>
      </w:r>
      <w:bookmarkStart w:id="0" w:name="_Hlk82727671"/>
      <w:r>
        <w:rPr>
          <w:rFonts w:ascii="Times New Roman" w:eastAsia="仿宋_GB2312" w:hAnsi="Times New Roman" w:cs="Times New Roman"/>
          <w:bCs/>
          <w:sz w:val="32"/>
          <w:szCs w:val="32"/>
        </w:rPr>
        <w:t>中国保安协会</w:t>
      </w:r>
      <w:bookmarkEnd w:id="0"/>
      <w:r>
        <w:rPr>
          <w:rFonts w:ascii="Times New Roman" w:eastAsia="仿宋_GB2312" w:hAnsi="Times New Roman" w:cs="Times New Roman"/>
          <w:bCs/>
          <w:sz w:val="32"/>
          <w:szCs w:val="32"/>
        </w:rPr>
        <w:t>聚焦</w:t>
      </w:r>
      <w:r>
        <w:rPr>
          <w:rFonts w:ascii="Times New Roman" w:eastAsia="仿宋_GB2312" w:hAnsi="Times New Roman" w:cs="Times New Roman"/>
          <w:bCs/>
          <w:sz w:val="32"/>
          <w:szCs w:val="32"/>
        </w:rPr>
        <w:t>行业</w:t>
      </w:r>
      <w:r>
        <w:rPr>
          <w:rFonts w:ascii="Times New Roman" w:eastAsia="仿宋_GB2312" w:hAnsi="Times New Roman" w:cs="Times New Roman"/>
          <w:bCs/>
          <w:sz w:val="32"/>
          <w:szCs w:val="32"/>
        </w:rPr>
        <w:t>提升</w:t>
      </w:r>
      <w:r>
        <w:rPr>
          <w:rFonts w:ascii="Times New Roman" w:eastAsia="仿宋_GB2312" w:hAnsi="Times New Roman" w:cs="Times New Roman"/>
          <w:bCs/>
          <w:sz w:val="32"/>
          <w:szCs w:val="32"/>
        </w:rPr>
        <w:t>综合管理</w:t>
      </w:r>
      <w:r>
        <w:rPr>
          <w:rFonts w:ascii="Times New Roman" w:eastAsia="仿宋_GB2312" w:hAnsi="Times New Roman" w:cs="Times New Roman"/>
          <w:bCs/>
          <w:sz w:val="32"/>
          <w:szCs w:val="32"/>
        </w:rPr>
        <w:t>和服务水平，拟在全国开展保安行业保险机制创新、服务平安中国建设工作</w:t>
      </w:r>
      <w:r>
        <w:rPr>
          <w:rFonts w:ascii="Times New Roman" w:eastAsia="仿宋_GB2312" w:hAnsi="Times New Roman" w:cs="Times New Roman"/>
          <w:bCs/>
          <w:sz w:val="32"/>
          <w:szCs w:val="32"/>
        </w:rPr>
        <w:t>，联合优秀保险公司为保安行业从业单位提供优质、全面的保险及增值服务，共同促进保安行业建立健全长期稳健风险管理和保险保障机制，推动行业高质量发展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主要</w:t>
      </w:r>
      <w:r>
        <w:rPr>
          <w:rFonts w:ascii="Times New Roman" w:eastAsia="仿宋_GB2312" w:hAnsi="Times New Roman" w:cs="Times New Roman" w:hint="eastAsia"/>
          <w:bCs/>
          <w:sz w:val="32"/>
          <w:szCs w:val="32"/>
        </w:rPr>
        <w:t>内容</w:t>
      </w:r>
      <w:r>
        <w:rPr>
          <w:rFonts w:ascii="Times New Roman" w:eastAsia="仿宋_GB2312" w:hAnsi="Times New Roman" w:cs="Times New Roman"/>
          <w:bCs/>
          <w:sz w:val="32"/>
          <w:szCs w:val="32"/>
        </w:rPr>
        <w:t>如下：</w:t>
      </w:r>
    </w:p>
    <w:p w14:paraId="46C43C27" w14:textId="77777777" w:rsidR="00E7170D" w:rsidRDefault="00837DBC">
      <w:pPr>
        <w:spacing w:line="579"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w:t>
      </w:r>
      <w:r>
        <w:rPr>
          <w:rFonts w:ascii="Times New Roman" w:eastAsia="仿宋_GB2312" w:hAnsi="Times New Roman" w:cs="Times New Roman"/>
          <w:b/>
          <w:sz w:val="32"/>
          <w:szCs w:val="32"/>
        </w:rPr>
        <w:t>战略合作投保优惠政策</w:t>
      </w:r>
    </w:p>
    <w:p w14:paraId="71448E30"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中国保安协会选定优秀保险公司</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并建立合作关系，共同推动建立健全保安行业保险保障机制。合作的保险公司</w:t>
      </w:r>
      <w:r>
        <w:rPr>
          <w:rFonts w:ascii="Times New Roman" w:eastAsia="仿宋_GB2312" w:hAnsi="Times New Roman" w:cs="Times New Roman"/>
          <w:bCs/>
          <w:sz w:val="32"/>
          <w:szCs w:val="32"/>
        </w:rPr>
        <w:t>各分公司在遵守保险监管规定的前提下，根据当地实际情况</w:t>
      </w:r>
      <w:r>
        <w:rPr>
          <w:rFonts w:ascii="Times New Roman" w:eastAsia="仿宋_GB2312" w:hAnsi="Times New Roman" w:cs="Times New Roman" w:hint="eastAsia"/>
          <w:bCs/>
          <w:sz w:val="32"/>
          <w:szCs w:val="32"/>
        </w:rPr>
        <w:t>和社会经济发展水平</w:t>
      </w:r>
      <w:r>
        <w:rPr>
          <w:rFonts w:ascii="Times New Roman" w:eastAsia="仿宋_GB2312" w:hAnsi="Times New Roman" w:cs="Times New Roman"/>
          <w:bCs/>
          <w:sz w:val="32"/>
          <w:szCs w:val="32"/>
        </w:rPr>
        <w:t>，为保安队伍、保安机构提供专业化承保服务，并针对非车险业务提供优惠投保政策</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具体如下：</w:t>
      </w:r>
    </w:p>
    <w:p w14:paraId="6E0FC876" w14:textId="77777777" w:rsidR="00E7170D" w:rsidRDefault="00837DBC">
      <w:pPr>
        <w:numPr>
          <w:ilvl w:val="0"/>
          <w:numId w:val="1"/>
        </w:num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保安</w:t>
      </w:r>
      <w:r>
        <w:rPr>
          <w:rFonts w:ascii="Times New Roman" w:eastAsia="仿宋_GB2312" w:hAnsi="Times New Roman" w:cs="Times New Roman" w:hint="eastAsia"/>
          <w:bCs/>
          <w:sz w:val="32"/>
          <w:szCs w:val="32"/>
        </w:rPr>
        <w:t>从业单位</w:t>
      </w:r>
      <w:r>
        <w:rPr>
          <w:rFonts w:ascii="Times New Roman" w:eastAsia="仿宋_GB2312" w:hAnsi="Times New Roman" w:cs="Times New Roman"/>
          <w:bCs/>
          <w:sz w:val="32"/>
          <w:szCs w:val="32"/>
        </w:rPr>
        <w:t>在</w:t>
      </w:r>
      <w:r>
        <w:rPr>
          <w:rFonts w:ascii="Times New Roman" w:eastAsia="仿宋_GB2312" w:hAnsi="Times New Roman" w:cs="Times New Roman" w:hint="eastAsia"/>
          <w:bCs/>
          <w:sz w:val="32"/>
          <w:szCs w:val="32"/>
        </w:rPr>
        <w:t>合作的保险</w:t>
      </w:r>
      <w:r>
        <w:rPr>
          <w:rFonts w:ascii="Times New Roman" w:eastAsia="仿宋_GB2312" w:hAnsi="Times New Roman" w:cs="Times New Roman"/>
          <w:bCs/>
          <w:sz w:val="32"/>
          <w:szCs w:val="32"/>
        </w:rPr>
        <w:t>公司投保非车险保险费率在当地平均</w:t>
      </w:r>
      <w:r>
        <w:rPr>
          <w:rFonts w:ascii="Times New Roman" w:eastAsia="仿宋_GB2312" w:hAnsi="Times New Roman" w:cs="Times New Roman"/>
          <w:bCs/>
          <w:sz w:val="32"/>
          <w:szCs w:val="32"/>
        </w:rPr>
        <w:t>费率水平的基础上给予</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的优惠。</w:t>
      </w:r>
    </w:p>
    <w:p w14:paraId="6E8A4EFA" w14:textId="77777777" w:rsidR="00E7170D" w:rsidRDefault="00837DBC">
      <w:pPr>
        <w:numPr>
          <w:ilvl w:val="0"/>
          <w:numId w:val="1"/>
        </w:num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中国保安协会</w:t>
      </w:r>
      <w:r>
        <w:rPr>
          <w:rFonts w:ascii="Times New Roman" w:eastAsia="仿宋_GB2312" w:hAnsi="Times New Roman" w:cs="Times New Roman"/>
          <w:bCs/>
          <w:sz w:val="32"/>
          <w:szCs w:val="32"/>
        </w:rPr>
        <w:t>及各省保安协会会员单位享受</w:t>
      </w:r>
      <w:r>
        <w:rPr>
          <w:rFonts w:ascii="Times New Roman" w:eastAsia="仿宋_GB2312" w:hAnsi="Times New Roman" w:cs="Times New Roman"/>
          <w:bCs/>
          <w:sz w:val="32"/>
          <w:szCs w:val="32"/>
        </w:rPr>
        <w:t>1.5%-5%</w:t>
      </w:r>
      <w:r>
        <w:rPr>
          <w:rFonts w:ascii="Times New Roman" w:eastAsia="仿宋_GB2312" w:hAnsi="Times New Roman" w:cs="Times New Roman"/>
          <w:bCs/>
          <w:sz w:val="32"/>
          <w:szCs w:val="32"/>
        </w:rPr>
        <w:t>的费率优惠，具体如下表。</w:t>
      </w:r>
    </w:p>
    <w:tbl>
      <w:tblPr>
        <w:tblW w:w="8912" w:type="dxa"/>
        <w:jc w:val="center"/>
        <w:tblLayout w:type="fixed"/>
        <w:tblCellMar>
          <w:left w:w="0" w:type="dxa"/>
          <w:right w:w="0" w:type="dxa"/>
        </w:tblCellMar>
        <w:tblLook w:val="04A0" w:firstRow="1" w:lastRow="0" w:firstColumn="1" w:lastColumn="0" w:noHBand="0" w:noVBand="1"/>
      </w:tblPr>
      <w:tblGrid>
        <w:gridCol w:w="2938"/>
        <w:gridCol w:w="1560"/>
        <w:gridCol w:w="2868"/>
        <w:gridCol w:w="1546"/>
      </w:tblGrid>
      <w:tr w:rsidR="00E7170D" w14:paraId="0A64B659" w14:textId="77777777">
        <w:trPr>
          <w:trHeight w:val="46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4AD41" w14:textId="77777777" w:rsidR="00E7170D" w:rsidRDefault="00837DBC">
            <w:pPr>
              <w:spacing w:line="579"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中保协会员资格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767C4" w14:textId="77777777" w:rsidR="00E7170D" w:rsidRDefault="00837DBC">
            <w:pPr>
              <w:spacing w:line="579"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费率优惠比例</w:t>
            </w:r>
          </w:p>
        </w:tc>
        <w:tc>
          <w:tcPr>
            <w:tcW w:w="2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D472D1" w14:textId="77777777" w:rsidR="00E7170D" w:rsidRDefault="00837DBC">
            <w:pPr>
              <w:spacing w:line="579"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省保协会员资格</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580A3" w14:textId="77777777" w:rsidR="00E7170D" w:rsidRDefault="00837DBC">
            <w:pPr>
              <w:spacing w:line="579"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费率优惠比例</w:t>
            </w:r>
          </w:p>
        </w:tc>
      </w:tr>
      <w:tr w:rsidR="00E7170D" w14:paraId="47463CD4" w14:textId="77777777">
        <w:trPr>
          <w:trHeight w:val="46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B43299"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中国保安协会常务理事</w:t>
            </w:r>
            <w:r>
              <w:rPr>
                <w:rFonts w:ascii="Times New Roman" w:eastAsia="仿宋_GB2312" w:hAnsi="Times New Roman" w:cs="Times New Roman" w:hint="eastAsia"/>
                <w:sz w:val="24"/>
              </w:rPr>
              <w:t>单位</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05EF40"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5.0%</w:t>
            </w:r>
          </w:p>
        </w:tc>
        <w:tc>
          <w:tcPr>
            <w:tcW w:w="2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B831A9"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省保安协会副会长</w:t>
            </w:r>
            <w:r>
              <w:rPr>
                <w:rFonts w:ascii="Times New Roman" w:eastAsia="仿宋_GB2312" w:hAnsi="Times New Roman" w:cs="Times New Roman" w:hint="eastAsia"/>
                <w:sz w:val="24"/>
              </w:rPr>
              <w:t>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55D7D8"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4.0%</w:t>
            </w:r>
          </w:p>
        </w:tc>
      </w:tr>
      <w:tr w:rsidR="00E7170D" w14:paraId="43C71B1A" w14:textId="77777777">
        <w:trPr>
          <w:trHeight w:val="46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8762B"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中国保安协会理事</w:t>
            </w:r>
            <w:r>
              <w:rPr>
                <w:rFonts w:ascii="Times New Roman" w:eastAsia="仿宋_GB2312" w:hAnsi="Times New Roman" w:cs="Times New Roman" w:hint="eastAsia"/>
                <w:sz w:val="24"/>
              </w:rPr>
              <w:t>单位</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FA31B4"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4.0%</w:t>
            </w:r>
          </w:p>
        </w:tc>
        <w:tc>
          <w:tcPr>
            <w:tcW w:w="2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519764"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省保安协会常务理事</w:t>
            </w:r>
            <w:r>
              <w:rPr>
                <w:rFonts w:ascii="Times New Roman" w:eastAsia="仿宋_GB2312" w:hAnsi="Times New Roman" w:cs="Times New Roman" w:hint="eastAsia"/>
                <w:sz w:val="24"/>
              </w:rPr>
              <w:t>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29985D"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3.0%</w:t>
            </w:r>
          </w:p>
        </w:tc>
      </w:tr>
      <w:tr w:rsidR="00E7170D" w14:paraId="245AD252" w14:textId="77777777">
        <w:trPr>
          <w:trHeight w:val="46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77CD3"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中国保安协会会员</w:t>
            </w:r>
            <w:r>
              <w:rPr>
                <w:rFonts w:ascii="Times New Roman" w:eastAsia="仿宋_GB2312" w:hAnsi="Times New Roman" w:cs="Times New Roman" w:hint="eastAsia"/>
                <w:sz w:val="24"/>
              </w:rPr>
              <w:t>单位</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C9653"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2.0%</w:t>
            </w:r>
          </w:p>
        </w:tc>
        <w:tc>
          <w:tcPr>
            <w:tcW w:w="2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FC8AA"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省保安协会理事</w:t>
            </w:r>
            <w:r>
              <w:rPr>
                <w:rFonts w:ascii="Times New Roman" w:eastAsia="仿宋_GB2312" w:hAnsi="Times New Roman" w:cs="Times New Roman" w:hint="eastAsia"/>
                <w:sz w:val="24"/>
              </w:rPr>
              <w:t>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20BC8"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2.5%</w:t>
            </w:r>
          </w:p>
        </w:tc>
      </w:tr>
      <w:tr w:rsidR="00E7170D" w14:paraId="7702EB6B" w14:textId="77777777">
        <w:trPr>
          <w:trHeight w:val="46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36563"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955962"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2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92FD50"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省保安协会会员</w:t>
            </w:r>
            <w:r>
              <w:rPr>
                <w:rFonts w:ascii="Times New Roman" w:eastAsia="仿宋_GB2312" w:hAnsi="Times New Roman" w:cs="Times New Roman" w:hint="eastAsia"/>
                <w:sz w:val="24"/>
              </w:rPr>
              <w:t>单位</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CB183" w14:textId="77777777" w:rsidR="00E7170D" w:rsidRDefault="00837DBC">
            <w:pPr>
              <w:spacing w:line="579" w:lineRule="exact"/>
              <w:jc w:val="center"/>
              <w:rPr>
                <w:rFonts w:ascii="Times New Roman" w:eastAsia="仿宋_GB2312" w:hAnsi="Times New Roman" w:cs="Times New Roman"/>
                <w:sz w:val="24"/>
              </w:rPr>
            </w:pPr>
            <w:r>
              <w:rPr>
                <w:rFonts w:ascii="Times New Roman" w:eastAsia="仿宋_GB2312" w:hAnsi="Times New Roman" w:cs="Times New Roman"/>
                <w:sz w:val="24"/>
              </w:rPr>
              <w:t>1.5%</w:t>
            </w:r>
          </w:p>
        </w:tc>
      </w:tr>
    </w:tbl>
    <w:p w14:paraId="460E5963" w14:textId="77777777" w:rsidR="00E7170D" w:rsidRDefault="00837DBC">
      <w:pPr>
        <w:spacing w:line="579" w:lineRule="exact"/>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    </w:t>
      </w:r>
      <w:r>
        <w:rPr>
          <w:rFonts w:ascii="黑体" w:eastAsia="黑体" w:hAnsi="黑体" w:cs="黑体" w:hint="eastAsia"/>
          <w:bCs/>
          <w:sz w:val="32"/>
          <w:szCs w:val="32"/>
        </w:rPr>
        <w:t>同时为</w:t>
      </w:r>
      <w:r>
        <w:rPr>
          <w:rFonts w:ascii="黑体" w:eastAsia="黑体" w:hAnsi="黑体" w:cs="黑体" w:hint="eastAsia"/>
          <w:bCs/>
          <w:sz w:val="32"/>
          <w:szCs w:val="32"/>
        </w:rPr>
        <w:t>中保协</w:t>
      </w:r>
      <w:r>
        <w:rPr>
          <w:rFonts w:ascii="黑体" w:eastAsia="黑体" w:hAnsi="黑体" w:cs="黑体" w:hint="eastAsia"/>
          <w:bCs/>
          <w:sz w:val="32"/>
          <w:szCs w:val="32"/>
        </w:rPr>
        <w:t>和省保安协会会员的，按较高的标准执行。</w:t>
      </w:r>
    </w:p>
    <w:p w14:paraId="2F880C00"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）根据</w:t>
      </w:r>
      <w:r>
        <w:rPr>
          <w:rFonts w:ascii="Times New Roman" w:eastAsia="仿宋_GB2312" w:hAnsi="Times New Roman" w:cs="Times New Roman"/>
          <w:bCs/>
          <w:sz w:val="32"/>
          <w:szCs w:val="32"/>
        </w:rPr>
        <w:t>投保</w:t>
      </w:r>
      <w:r>
        <w:rPr>
          <w:rFonts w:ascii="Times New Roman" w:eastAsia="仿宋_GB2312" w:hAnsi="Times New Roman" w:cs="Times New Roman" w:hint="eastAsia"/>
          <w:bCs/>
          <w:sz w:val="32"/>
          <w:szCs w:val="32"/>
        </w:rPr>
        <w:t>保安从业</w:t>
      </w:r>
      <w:r>
        <w:rPr>
          <w:rFonts w:ascii="Times New Roman" w:eastAsia="仿宋_GB2312" w:hAnsi="Times New Roman" w:cs="Times New Roman"/>
          <w:bCs/>
          <w:sz w:val="32"/>
          <w:szCs w:val="32"/>
        </w:rPr>
        <w:t>单位</w:t>
      </w:r>
      <w:r>
        <w:rPr>
          <w:rFonts w:ascii="Times New Roman" w:eastAsia="仿宋_GB2312" w:hAnsi="Times New Roman" w:cs="Times New Roman"/>
          <w:bCs/>
          <w:sz w:val="32"/>
          <w:szCs w:val="32"/>
        </w:rPr>
        <w:t>在</w:t>
      </w:r>
      <w:r>
        <w:rPr>
          <w:rFonts w:ascii="Times New Roman" w:eastAsia="仿宋_GB2312" w:hAnsi="Times New Roman" w:cs="Times New Roman" w:hint="eastAsia"/>
          <w:bCs/>
          <w:sz w:val="32"/>
          <w:szCs w:val="32"/>
        </w:rPr>
        <w:t>合作保险</w:t>
      </w:r>
      <w:r>
        <w:rPr>
          <w:rFonts w:ascii="Times New Roman" w:eastAsia="仿宋_GB2312" w:hAnsi="Times New Roman" w:cs="Times New Roman"/>
          <w:bCs/>
          <w:sz w:val="32"/>
          <w:szCs w:val="32"/>
        </w:rPr>
        <w:t>公司保费</w:t>
      </w:r>
      <w:r>
        <w:rPr>
          <w:rFonts w:ascii="Times New Roman" w:eastAsia="仿宋_GB2312" w:hAnsi="Times New Roman" w:cs="Times New Roman"/>
          <w:bCs/>
          <w:sz w:val="32"/>
          <w:szCs w:val="32"/>
        </w:rPr>
        <w:t>规模</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给予对应费率优惠。</w:t>
      </w:r>
    </w:p>
    <w:tbl>
      <w:tblPr>
        <w:tblW w:w="6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2712"/>
      </w:tblGrid>
      <w:tr w:rsidR="00E7170D" w14:paraId="61FE5716" w14:textId="77777777">
        <w:trPr>
          <w:trHeight w:val="476"/>
          <w:jc w:val="center"/>
        </w:trPr>
        <w:tc>
          <w:tcPr>
            <w:tcW w:w="3986" w:type="dxa"/>
            <w:tcBorders>
              <w:tl2br w:val="nil"/>
              <w:tr2bl w:val="nil"/>
            </w:tcBorders>
            <w:shd w:val="clear" w:color="auto" w:fill="auto"/>
            <w:noWrap/>
            <w:vAlign w:val="center"/>
          </w:tcPr>
          <w:p w14:paraId="11411818" w14:textId="77777777" w:rsidR="00E7170D" w:rsidRDefault="00837DBC">
            <w:pPr>
              <w:widowControl/>
              <w:spacing w:line="579"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年保费规模</w:t>
            </w:r>
          </w:p>
        </w:tc>
        <w:tc>
          <w:tcPr>
            <w:tcW w:w="2712" w:type="dxa"/>
            <w:tcBorders>
              <w:tl2br w:val="nil"/>
              <w:tr2bl w:val="nil"/>
            </w:tcBorders>
            <w:shd w:val="clear" w:color="auto" w:fill="auto"/>
            <w:noWrap/>
            <w:vAlign w:val="center"/>
          </w:tcPr>
          <w:p w14:paraId="09461E20" w14:textId="77777777" w:rsidR="00E7170D" w:rsidRDefault="00837DBC">
            <w:pPr>
              <w:widowControl/>
              <w:spacing w:line="579"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费率优惠比例</w:t>
            </w:r>
          </w:p>
        </w:tc>
      </w:tr>
      <w:tr w:rsidR="00E7170D" w14:paraId="22D0EF58" w14:textId="77777777">
        <w:trPr>
          <w:trHeight w:val="476"/>
          <w:jc w:val="center"/>
        </w:trPr>
        <w:tc>
          <w:tcPr>
            <w:tcW w:w="3986" w:type="dxa"/>
            <w:tcBorders>
              <w:tl2br w:val="nil"/>
              <w:tr2bl w:val="nil"/>
            </w:tcBorders>
            <w:shd w:val="clear" w:color="auto" w:fill="auto"/>
            <w:noWrap/>
            <w:vAlign w:val="center"/>
          </w:tcPr>
          <w:p w14:paraId="755FE04C"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10</w:t>
            </w:r>
            <w:r>
              <w:rPr>
                <w:rFonts w:ascii="Times New Roman" w:eastAsia="仿宋" w:hAnsi="Times New Roman" w:cs="Times New Roman"/>
                <w:bCs/>
                <w:kern w:val="0"/>
                <w:sz w:val="24"/>
              </w:rPr>
              <w:t>万元（含）</w:t>
            </w:r>
            <w:r>
              <w:rPr>
                <w:rFonts w:ascii="Times New Roman" w:eastAsia="仿宋" w:hAnsi="Times New Roman" w:cs="Times New Roman" w:hint="eastAsia"/>
                <w:bCs/>
                <w:kern w:val="0"/>
                <w:sz w:val="24"/>
              </w:rPr>
              <w:t>—</w:t>
            </w:r>
            <w:r>
              <w:rPr>
                <w:rFonts w:ascii="Times New Roman" w:eastAsia="仿宋" w:hAnsi="Times New Roman" w:cs="Times New Roman"/>
                <w:bCs/>
                <w:kern w:val="0"/>
                <w:sz w:val="24"/>
              </w:rPr>
              <w:t>20</w:t>
            </w:r>
            <w:r>
              <w:rPr>
                <w:rFonts w:ascii="Times New Roman" w:eastAsia="仿宋" w:hAnsi="Times New Roman" w:cs="Times New Roman"/>
                <w:bCs/>
                <w:kern w:val="0"/>
                <w:sz w:val="24"/>
              </w:rPr>
              <w:t>万元</w:t>
            </w:r>
          </w:p>
        </w:tc>
        <w:tc>
          <w:tcPr>
            <w:tcW w:w="2712" w:type="dxa"/>
            <w:tcBorders>
              <w:tl2br w:val="nil"/>
              <w:tr2bl w:val="nil"/>
            </w:tcBorders>
            <w:shd w:val="clear" w:color="auto" w:fill="auto"/>
            <w:noWrap/>
            <w:vAlign w:val="center"/>
          </w:tcPr>
          <w:p w14:paraId="7A2CC6BB"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2%</w:t>
            </w:r>
          </w:p>
        </w:tc>
      </w:tr>
      <w:tr w:rsidR="00E7170D" w14:paraId="3B08B533" w14:textId="77777777">
        <w:trPr>
          <w:trHeight w:val="476"/>
          <w:jc w:val="center"/>
        </w:trPr>
        <w:tc>
          <w:tcPr>
            <w:tcW w:w="3986" w:type="dxa"/>
            <w:tcBorders>
              <w:tl2br w:val="nil"/>
              <w:tr2bl w:val="nil"/>
            </w:tcBorders>
            <w:shd w:val="clear" w:color="auto" w:fill="auto"/>
            <w:noWrap/>
            <w:vAlign w:val="center"/>
          </w:tcPr>
          <w:p w14:paraId="447ABCBD"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20</w:t>
            </w:r>
            <w:r>
              <w:rPr>
                <w:rFonts w:ascii="Times New Roman" w:eastAsia="仿宋" w:hAnsi="Times New Roman" w:cs="Times New Roman"/>
                <w:bCs/>
                <w:kern w:val="0"/>
                <w:sz w:val="24"/>
              </w:rPr>
              <w:t>万元（含）</w:t>
            </w:r>
            <w:r>
              <w:rPr>
                <w:rFonts w:ascii="Times New Roman" w:eastAsia="仿宋" w:hAnsi="Times New Roman" w:cs="Times New Roman" w:hint="eastAsia"/>
                <w:bCs/>
                <w:kern w:val="0"/>
                <w:sz w:val="24"/>
              </w:rPr>
              <w:t>—</w:t>
            </w:r>
            <w:r>
              <w:rPr>
                <w:rFonts w:ascii="Times New Roman" w:eastAsia="仿宋" w:hAnsi="Times New Roman" w:cs="Times New Roman"/>
                <w:bCs/>
                <w:kern w:val="0"/>
                <w:sz w:val="24"/>
              </w:rPr>
              <w:t>50</w:t>
            </w:r>
            <w:r>
              <w:rPr>
                <w:rFonts w:ascii="Times New Roman" w:eastAsia="仿宋" w:hAnsi="Times New Roman" w:cs="Times New Roman"/>
                <w:bCs/>
                <w:kern w:val="0"/>
                <w:sz w:val="24"/>
              </w:rPr>
              <w:t>万元</w:t>
            </w:r>
          </w:p>
        </w:tc>
        <w:tc>
          <w:tcPr>
            <w:tcW w:w="2712" w:type="dxa"/>
            <w:tcBorders>
              <w:tl2br w:val="nil"/>
              <w:tr2bl w:val="nil"/>
            </w:tcBorders>
            <w:shd w:val="clear" w:color="auto" w:fill="auto"/>
            <w:noWrap/>
            <w:vAlign w:val="center"/>
          </w:tcPr>
          <w:p w14:paraId="33A77A39"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3%</w:t>
            </w:r>
          </w:p>
        </w:tc>
      </w:tr>
      <w:tr w:rsidR="00E7170D" w14:paraId="15FC88B0" w14:textId="77777777">
        <w:trPr>
          <w:trHeight w:val="476"/>
          <w:jc w:val="center"/>
        </w:trPr>
        <w:tc>
          <w:tcPr>
            <w:tcW w:w="3986" w:type="dxa"/>
            <w:tcBorders>
              <w:tl2br w:val="nil"/>
              <w:tr2bl w:val="nil"/>
            </w:tcBorders>
            <w:shd w:val="clear" w:color="auto" w:fill="auto"/>
            <w:noWrap/>
            <w:vAlign w:val="center"/>
          </w:tcPr>
          <w:p w14:paraId="581C2CDC"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50</w:t>
            </w:r>
            <w:r>
              <w:rPr>
                <w:rFonts w:ascii="Times New Roman" w:eastAsia="仿宋" w:hAnsi="Times New Roman" w:cs="Times New Roman"/>
                <w:bCs/>
                <w:kern w:val="0"/>
                <w:sz w:val="24"/>
              </w:rPr>
              <w:t>万元（含）以上</w:t>
            </w:r>
          </w:p>
        </w:tc>
        <w:tc>
          <w:tcPr>
            <w:tcW w:w="2712" w:type="dxa"/>
            <w:tcBorders>
              <w:tl2br w:val="nil"/>
              <w:tr2bl w:val="nil"/>
            </w:tcBorders>
            <w:shd w:val="clear" w:color="auto" w:fill="auto"/>
            <w:noWrap/>
            <w:vAlign w:val="center"/>
          </w:tcPr>
          <w:p w14:paraId="4BF1CAC3" w14:textId="77777777" w:rsidR="00E7170D" w:rsidRDefault="00837DBC">
            <w:pPr>
              <w:widowControl/>
              <w:spacing w:line="579" w:lineRule="exact"/>
              <w:jc w:val="center"/>
              <w:rPr>
                <w:rFonts w:ascii="Times New Roman" w:eastAsia="仿宋" w:hAnsi="Times New Roman" w:cs="Times New Roman"/>
                <w:bCs/>
                <w:kern w:val="0"/>
                <w:sz w:val="24"/>
              </w:rPr>
            </w:pPr>
            <w:r>
              <w:rPr>
                <w:rFonts w:ascii="Times New Roman" w:eastAsia="仿宋" w:hAnsi="Times New Roman" w:cs="Times New Roman"/>
                <w:bCs/>
                <w:kern w:val="0"/>
                <w:sz w:val="24"/>
              </w:rPr>
              <w:t>5%</w:t>
            </w:r>
          </w:p>
        </w:tc>
      </w:tr>
    </w:tbl>
    <w:p w14:paraId="1414865B" w14:textId="77777777" w:rsidR="00E7170D" w:rsidRDefault="00837DBC">
      <w:pPr>
        <w:spacing w:line="579" w:lineRule="exact"/>
        <w:ind w:firstLineChars="200" w:firstLine="560"/>
        <w:rPr>
          <w:rFonts w:ascii="Times New Roman" w:eastAsia="楷体" w:hAnsi="Times New Roman" w:cs="Times New Roman"/>
          <w:bCs/>
          <w:sz w:val="28"/>
          <w:szCs w:val="28"/>
        </w:rPr>
      </w:pPr>
      <w:r>
        <w:rPr>
          <w:rFonts w:ascii="Times New Roman" w:eastAsia="楷体" w:hAnsi="Times New Roman" w:cs="Times New Roman"/>
          <w:bCs/>
          <w:sz w:val="28"/>
          <w:szCs w:val="28"/>
        </w:rPr>
        <w:t>注：上表的年保费规模为投保单位根据自身保险需求与</w:t>
      </w:r>
      <w:r>
        <w:rPr>
          <w:rFonts w:ascii="Times New Roman" w:eastAsia="楷体" w:hAnsi="Times New Roman" w:cs="Times New Roman" w:hint="eastAsia"/>
          <w:bCs/>
          <w:sz w:val="28"/>
          <w:szCs w:val="28"/>
        </w:rPr>
        <w:t>合作</w:t>
      </w:r>
      <w:r>
        <w:rPr>
          <w:rFonts w:ascii="Times New Roman" w:eastAsia="楷体" w:hAnsi="Times New Roman" w:cs="Times New Roman"/>
          <w:bCs/>
          <w:sz w:val="28"/>
          <w:szCs w:val="28"/>
        </w:rPr>
        <w:t>公司达成的未来一年意向投保的非车险保费规模。</w:t>
      </w:r>
    </w:p>
    <w:p w14:paraId="7273104C" w14:textId="77777777" w:rsidR="00E7170D" w:rsidRDefault="00837DBC">
      <w:pPr>
        <w:spacing w:line="579"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同时具备（</w:t>
      </w:r>
      <w:r>
        <w:rPr>
          <w:rFonts w:ascii="Times New Roman" w:eastAsia="黑体" w:hAnsi="Times New Roman" w:cs="Times New Roman"/>
          <w:bCs/>
          <w:sz w:val="32"/>
          <w:szCs w:val="32"/>
        </w:rPr>
        <w:t>1</w:t>
      </w:r>
      <w:r>
        <w:rPr>
          <w:rFonts w:ascii="Times New Roman" w:eastAsia="黑体" w:hAnsi="Times New Roman" w:cs="Times New Roman"/>
          <w:bCs/>
          <w:sz w:val="32"/>
          <w:szCs w:val="32"/>
        </w:rPr>
        <w:t>）（</w:t>
      </w:r>
      <w:r>
        <w:rPr>
          <w:rFonts w:ascii="Times New Roman" w:eastAsia="黑体" w:hAnsi="Times New Roman" w:cs="Times New Roman"/>
          <w:bCs/>
          <w:sz w:val="32"/>
          <w:szCs w:val="32"/>
        </w:rPr>
        <w:t>2</w:t>
      </w:r>
      <w:r>
        <w:rPr>
          <w:rFonts w:ascii="Times New Roman" w:eastAsia="黑体" w:hAnsi="Times New Roman" w:cs="Times New Roman"/>
          <w:bCs/>
          <w:sz w:val="32"/>
          <w:szCs w:val="32"/>
        </w:rPr>
        <w:t>）（</w:t>
      </w:r>
      <w:r>
        <w:rPr>
          <w:rFonts w:ascii="Times New Roman" w:eastAsia="黑体" w:hAnsi="Times New Roman" w:cs="Times New Roman"/>
          <w:bCs/>
          <w:sz w:val="32"/>
          <w:szCs w:val="32"/>
        </w:rPr>
        <w:t>3</w:t>
      </w:r>
      <w:r>
        <w:rPr>
          <w:rFonts w:ascii="Times New Roman" w:eastAsia="黑体" w:hAnsi="Times New Roman" w:cs="Times New Roman"/>
          <w:bCs/>
          <w:sz w:val="32"/>
          <w:szCs w:val="32"/>
        </w:rPr>
        <w:t>）款优惠享受条件的，</w:t>
      </w:r>
      <w:r>
        <w:rPr>
          <w:rFonts w:ascii="Times New Roman" w:eastAsia="黑体" w:hAnsi="Times New Roman" w:cs="Times New Roman" w:hint="eastAsia"/>
          <w:bCs/>
          <w:sz w:val="32"/>
          <w:szCs w:val="32"/>
        </w:rPr>
        <w:t>可</w:t>
      </w:r>
      <w:r>
        <w:rPr>
          <w:rFonts w:ascii="Times New Roman" w:eastAsia="黑体" w:hAnsi="Times New Roman" w:cs="Times New Roman"/>
          <w:bCs/>
          <w:sz w:val="32"/>
          <w:szCs w:val="32"/>
        </w:rPr>
        <w:t>叠加享受费率优惠。</w:t>
      </w:r>
    </w:p>
    <w:p w14:paraId="43451923" w14:textId="77777777" w:rsidR="00E7170D" w:rsidRDefault="00837DBC">
      <w:pPr>
        <w:spacing w:line="579"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w:t>
      </w:r>
      <w:r>
        <w:rPr>
          <w:rFonts w:ascii="Times New Roman" w:eastAsia="黑体" w:hAnsi="Times New Roman" w:cs="Times New Roman"/>
          <w:bCs/>
          <w:sz w:val="32"/>
          <w:szCs w:val="32"/>
        </w:rPr>
        <w:t>、</w:t>
      </w:r>
      <w:r>
        <w:rPr>
          <w:rFonts w:ascii="Times New Roman" w:eastAsia="黑体" w:hAnsi="Times New Roman" w:cs="Times New Roman"/>
          <w:bCs/>
          <w:sz w:val="32"/>
          <w:szCs w:val="32"/>
        </w:rPr>
        <w:t>推动</w:t>
      </w:r>
      <w:r>
        <w:rPr>
          <w:rFonts w:ascii="Times New Roman" w:eastAsia="黑体" w:hAnsi="Times New Roman" w:cs="Times New Roman"/>
          <w:bCs/>
          <w:sz w:val="32"/>
          <w:szCs w:val="32"/>
        </w:rPr>
        <w:t>建立健全保安行业保险保障体系</w:t>
      </w:r>
    </w:p>
    <w:p w14:paraId="4CE23259" w14:textId="77777777" w:rsidR="00E7170D" w:rsidRDefault="00837DBC">
      <w:pPr>
        <w:spacing w:line="579" w:lineRule="exact"/>
        <w:ind w:firstLineChars="200" w:firstLine="640"/>
        <w:rPr>
          <w:rFonts w:ascii="Times New Roman" w:eastAsia="楷体" w:hAnsi="Times New Roman" w:cs="Times New Roman"/>
          <w:bCs/>
          <w:sz w:val="32"/>
          <w:szCs w:val="32"/>
        </w:rPr>
      </w:pPr>
      <w:r>
        <w:rPr>
          <w:rFonts w:ascii="Times New Roman" w:eastAsia="仿宋_GB2312" w:hAnsi="Times New Roman" w:cs="Times New Roman"/>
          <w:bCs/>
          <w:sz w:val="32"/>
          <w:szCs w:val="32"/>
        </w:rPr>
        <w:t>由中国保安协会确定的合作保险</w:t>
      </w:r>
      <w:r>
        <w:rPr>
          <w:rFonts w:ascii="Times New Roman" w:eastAsia="仿宋_GB2312" w:hAnsi="Times New Roman" w:cs="Times New Roman"/>
          <w:bCs/>
          <w:sz w:val="32"/>
          <w:szCs w:val="32"/>
        </w:rPr>
        <w:t>公司将根据保安行业特点，有针对性的提供全方位保险产品，推广责任险、财产险、车辆保险、意外险、健康险</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货运险</w:t>
      </w:r>
      <w:r>
        <w:rPr>
          <w:rFonts w:ascii="Times New Roman" w:eastAsia="仿宋_GB2312" w:hAnsi="Times New Roman" w:cs="Times New Roman"/>
          <w:bCs/>
          <w:sz w:val="32"/>
          <w:szCs w:val="32"/>
        </w:rPr>
        <w:t>等</w:t>
      </w:r>
      <w:r>
        <w:rPr>
          <w:rFonts w:ascii="Times New Roman" w:eastAsia="仿宋_GB2312" w:hAnsi="Times New Roman" w:cs="Times New Roman" w:hint="eastAsia"/>
          <w:bCs/>
          <w:sz w:val="32"/>
          <w:szCs w:val="32"/>
        </w:rPr>
        <w:t>种类</w:t>
      </w:r>
      <w:r>
        <w:rPr>
          <w:rFonts w:ascii="Times New Roman" w:eastAsia="仿宋_GB2312" w:hAnsi="Times New Roman" w:cs="Times New Roman"/>
          <w:bCs/>
          <w:sz w:val="32"/>
          <w:szCs w:val="32"/>
        </w:rPr>
        <w:t>多元化</w:t>
      </w:r>
      <w:r>
        <w:rPr>
          <w:rFonts w:ascii="Times New Roman" w:eastAsia="仿宋_GB2312" w:hAnsi="Times New Roman" w:cs="Times New Roman" w:hint="eastAsia"/>
          <w:bCs/>
          <w:sz w:val="32"/>
          <w:szCs w:val="32"/>
        </w:rPr>
        <w:t>的菜单式</w:t>
      </w:r>
      <w:r>
        <w:rPr>
          <w:rFonts w:ascii="Times New Roman" w:eastAsia="仿宋_GB2312" w:hAnsi="Times New Roman" w:cs="Times New Roman"/>
          <w:bCs/>
          <w:sz w:val="32"/>
          <w:szCs w:val="32"/>
        </w:rPr>
        <w:t>保险产品</w:t>
      </w:r>
      <w:r>
        <w:rPr>
          <w:rFonts w:ascii="Times New Roman" w:eastAsia="仿宋_GB2312" w:hAnsi="Times New Roman" w:cs="Times New Roman" w:hint="eastAsia"/>
          <w:bCs/>
          <w:sz w:val="32"/>
          <w:szCs w:val="32"/>
        </w:rPr>
        <w:t>，保安从业单位根据实际需求自愿选择产品种类和保险方案</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各分公司</w:t>
      </w:r>
      <w:r>
        <w:rPr>
          <w:rFonts w:ascii="Times New Roman" w:eastAsia="仿宋_GB2312" w:hAnsi="Times New Roman" w:cs="Times New Roman" w:hint="eastAsia"/>
          <w:bCs/>
          <w:sz w:val="32"/>
          <w:szCs w:val="32"/>
        </w:rPr>
        <w:t>也</w:t>
      </w:r>
      <w:r>
        <w:rPr>
          <w:rFonts w:ascii="Times New Roman" w:eastAsia="仿宋_GB2312" w:hAnsi="Times New Roman" w:cs="Times New Roman"/>
          <w:bCs/>
          <w:sz w:val="32"/>
          <w:szCs w:val="32"/>
        </w:rPr>
        <w:t>可根据当地实际情况</w:t>
      </w:r>
      <w:r>
        <w:rPr>
          <w:rFonts w:ascii="Times New Roman" w:eastAsia="仿宋_GB2312" w:hAnsi="Times New Roman" w:cs="Times New Roman" w:hint="eastAsia"/>
          <w:bCs/>
          <w:sz w:val="32"/>
          <w:szCs w:val="32"/>
        </w:rPr>
        <w:t>和保安从业单位需求，</w:t>
      </w:r>
      <w:r>
        <w:rPr>
          <w:rFonts w:ascii="Times New Roman" w:eastAsia="仿宋_GB2312" w:hAnsi="Times New Roman" w:cs="Times New Roman"/>
          <w:bCs/>
          <w:sz w:val="32"/>
          <w:szCs w:val="32"/>
        </w:rPr>
        <w:lastRenderedPageBreak/>
        <w:t>提供有针对性的其他类别保险产品服务</w:t>
      </w:r>
      <w:r>
        <w:rPr>
          <w:rFonts w:ascii="Times New Roman" w:eastAsia="仿宋_GB2312" w:hAnsi="Times New Roman" w:cs="Times New Roman" w:hint="eastAsia"/>
          <w:bCs/>
          <w:sz w:val="32"/>
          <w:szCs w:val="32"/>
        </w:rPr>
        <w:t>，并对应享受优惠政策</w:t>
      </w:r>
      <w:r>
        <w:rPr>
          <w:rFonts w:ascii="Times New Roman" w:eastAsia="仿宋_GB2312" w:hAnsi="Times New Roman" w:cs="Times New Roman"/>
          <w:bCs/>
          <w:sz w:val="32"/>
          <w:szCs w:val="32"/>
        </w:rPr>
        <w:t>。</w:t>
      </w:r>
    </w:p>
    <w:p w14:paraId="1CB269FC" w14:textId="77777777" w:rsidR="00E7170D" w:rsidRDefault="00837DBC">
      <w:pPr>
        <w:spacing w:line="579"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w:t>
      </w:r>
      <w:r>
        <w:rPr>
          <w:rFonts w:ascii="Times New Roman" w:eastAsia="楷体" w:hAnsi="Times New Roman" w:cs="Times New Roman"/>
          <w:bCs/>
          <w:sz w:val="32"/>
          <w:szCs w:val="32"/>
        </w:rPr>
        <w:t>多元化保险产品体系</w:t>
      </w:r>
    </w:p>
    <w:p w14:paraId="0398A05F" w14:textId="77777777" w:rsidR="00E7170D" w:rsidRDefault="00837DBC">
      <w:pPr>
        <w:spacing w:line="579" w:lineRule="exact"/>
        <w:ind w:firstLineChars="200" w:firstLine="640"/>
        <w:rPr>
          <w:rFonts w:ascii="Times New Roman" w:eastAsia="仿宋"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雇主责任险及附加险</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保安企业责任险等</w:t>
      </w:r>
      <w:r>
        <w:rPr>
          <w:rFonts w:ascii="Times New Roman" w:eastAsia="仿宋" w:hAnsi="Times New Roman" w:cs="Times New Roman"/>
          <w:bCs/>
          <w:sz w:val="32"/>
          <w:szCs w:val="32"/>
        </w:rPr>
        <w:t>投保基础方案如下：</w:t>
      </w:r>
    </w:p>
    <w:tbl>
      <w:tblPr>
        <w:tblW w:w="9771" w:type="dxa"/>
        <w:jc w:val="center"/>
        <w:tblLayout w:type="fixed"/>
        <w:tblLook w:val="04A0" w:firstRow="1" w:lastRow="0" w:firstColumn="1" w:lastColumn="0" w:noHBand="0" w:noVBand="1"/>
      </w:tblPr>
      <w:tblGrid>
        <w:gridCol w:w="1061"/>
        <w:gridCol w:w="1650"/>
        <w:gridCol w:w="3833"/>
        <w:gridCol w:w="850"/>
        <w:gridCol w:w="825"/>
        <w:gridCol w:w="800"/>
        <w:gridCol w:w="752"/>
      </w:tblGrid>
      <w:tr w:rsidR="00E7170D" w14:paraId="71CC0478" w14:textId="77777777">
        <w:trPr>
          <w:trHeight w:val="289"/>
          <w:jc w:val="center"/>
        </w:trPr>
        <w:tc>
          <w:tcPr>
            <w:tcW w:w="106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14D1C5B"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险类</w:t>
            </w:r>
          </w:p>
        </w:tc>
        <w:tc>
          <w:tcPr>
            <w:tcW w:w="165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45793E"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险种</w:t>
            </w:r>
          </w:p>
        </w:tc>
        <w:tc>
          <w:tcPr>
            <w:tcW w:w="383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49237A"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保险责任</w:t>
            </w:r>
          </w:p>
        </w:tc>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AE2E500"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方案一</w:t>
            </w:r>
          </w:p>
        </w:tc>
        <w:tc>
          <w:tcPr>
            <w:tcW w:w="82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D77F722"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方案二</w:t>
            </w:r>
          </w:p>
        </w:tc>
        <w:tc>
          <w:tcPr>
            <w:tcW w:w="80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E50ADCA"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方案三</w:t>
            </w:r>
          </w:p>
        </w:tc>
        <w:tc>
          <w:tcPr>
            <w:tcW w:w="748"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8280170"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方案四</w:t>
            </w:r>
          </w:p>
        </w:tc>
      </w:tr>
      <w:tr w:rsidR="00E7170D" w14:paraId="0E6E8E03" w14:textId="77777777">
        <w:trPr>
          <w:trHeight w:val="401"/>
          <w:jc w:val="center"/>
        </w:trPr>
        <w:tc>
          <w:tcPr>
            <w:tcW w:w="1061" w:type="dxa"/>
            <w:vMerge w:val="restart"/>
            <w:tcBorders>
              <w:top w:val="single" w:sz="4" w:space="0" w:color="auto"/>
              <w:left w:val="single" w:sz="4" w:space="0" w:color="auto"/>
              <w:bottom w:val="single" w:sz="4" w:space="0" w:color="auto"/>
              <w:right w:val="single" w:sz="4" w:space="0" w:color="auto"/>
            </w:tcBorders>
            <w:noWrap/>
            <w:vAlign w:val="center"/>
          </w:tcPr>
          <w:p w14:paraId="3AD4672E"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责任险及附加险</w:t>
            </w:r>
          </w:p>
        </w:tc>
        <w:tc>
          <w:tcPr>
            <w:tcW w:w="1650" w:type="dxa"/>
            <w:tcBorders>
              <w:top w:val="single" w:sz="4" w:space="0" w:color="auto"/>
              <w:left w:val="single" w:sz="4" w:space="0" w:color="auto"/>
              <w:bottom w:val="single" w:sz="4" w:space="0" w:color="auto"/>
              <w:right w:val="single" w:sz="4" w:space="0" w:color="auto"/>
            </w:tcBorders>
            <w:noWrap/>
            <w:vAlign w:val="center"/>
          </w:tcPr>
          <w:p w14:paraId="018725A8"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雇主责任保险</w:t>
            </w:r>
          </w:p>
        </w:tc>
        <w:tc>
          <w:tcPr>
            <w:tcW w:w="3833" w:type="dxa"/>
            <w:tcBorders>
              <w:top w:val="single" w:sz="4" w:space="0" w:color="auto"/>
              <w:left w:val="single" w:sz="4" w:space="0" w:color="auto"/>
              <w:bottom w:val="single" w:sz="4" w:space="0" w:color="auto"/>
              <w:right w:val="single" w:sz="4" w:space="0" w:color="auto"/>
            </w:tcBorders>
            <w:vAlign w:val="center"/>
          </w:tcPr>
          <w:p w14:paraId="38BC5E9F" w14:textId="77777777" w:rsidR="00E7170D" w:rsidRDefault="00837DBC">
            <w:pPr>
              <w:widowControl/>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安保公司员工因遭受意外而导致伤残或死亡的，依法由保安公司承担的赔偿责任</w:t>
            </w:r>
          </w:p>
        </w:tc>
        <w:tc>
          <w:tcPr>
            <w:tcW w:w="850" w:type="dxa"/>
            <w:tcBorders>
              <w:top w:val="single" w:sz="4" w:space="0" w:color="auto"/>
              <w:left w:val="single" w:sz="4" w:space="0" w:color="auto"/>
              <w:bottom w:val="single" w:sz="4" w:space="0" w:color="auto"/>
              <w:right w:val="single" w:sz="4" w:space="0" w:color="auto"/>
            </w:tcBorders>
            <w:noWrap/>
            <w:vAlign w:val="center"/>
          </w:tcPr>
          <w:p w14:paraId="2D86C345"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30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25FDF447" w14:textId="77777777" w:rsidR="00E7170D" w:rsidRDefault="00837DBC">
            <w:pPr>
              <w:widowControl/>
              <w:spacing w:line="360" w:lineRule="exact"/>
              <w:jc w:val="center"/>
              <w:rPr>
                <w:rFonts w:ascii="Times New Roman" w:hAnsi="Times New Roman" w:cs="Times New Roman"/>
              </w:rPr>
            </w:pPr>
            <w:r>
              <w:rPr>
                <w:rFonts w:ascii="Times New Roman" w:eastAsia="仿宋_GB2312" w:hAnsi="Times New Roman" w:cs="Times New Roman"/>
                <w:bCs/>
                <w:sz w:val="24"/>
              </w:rPr>
              <w:t>50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00" w:type="dxa"/>
            <w:tcBorders>
              <w:top w:val="single" w:sz="4" w:space="0" w:color="auto"/>
              <w:left w:val="single" w:sz="4" w:space="0" w:color="auto"/>
              <w:bottom w:val="single" w:sz="4" w:space="0" w:color="auto"/>
              <w:right w:val="single" w:sz="4" w:space="0" w:color="auto"/>
            </w:tcBorders>
            <w:vAlign w:val="center"/>
          </w:tcPr>
          <w:p w14:paraId="1A9102D7"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80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748" w:type="dxa"/>
            <w:tcBorders>
              <w:top w:val="single" w:sz="4" w:space="0" w:color="auto"/>
              <w:left w:val="single" w:sz="4" w:space="0" w:color="auto"/>
              <w:bottom w:val="single" w:sz="4" w:space="0" w:color="auto"/>
              <w:right w:val="single" w:sz="4" w:space="0" w:color="auto"/>
            </w:tcBorders>
            <w:vAlign w:val="center"/>
          </w:tcPr>
          <w:p w14:paraId="4826AAAD"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100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r>
      <w:tr w:rsidR="00E7170D" w14:paraId="5BD6F6C2" w14:textId="77777777">
        <w:trPr>
          <w:trHeight w:val="1506"/>
          <w:jc w:val="center"/>
        </w:trPr>
        <w:tc>
          <w:tcPr>
            <w:tcW w:w="1061" w:type="dxa"/>
            <w:vMerge/>
            <w:tcBorders>
              <w:top w:val="single" w:sz="4" w:space="0" w:color="auto"/>
              <w:left w:val="single" w:sz="4" w:space="0" w:color="auto"/>
              <w:bottom w:val="single" w:sz="4" w:space="0" w:color="auto"/>
              <w:right w:val="single" w:sz="4" w:space="0" w:color="auto"/>
            </w:tcBorders>
            <w:noWrap/>
            <w:vAlign w:val="center"/>
          </w:tcPr>
          <w:p w14:paraId="424AB06D" w14:textId="77777777" w:rsidR="00E7170D" w:rsidRDefault="00E7170D">
            <w:pPr>
              <w:spacing w:line="360" w:lineRule="exact"/>
              <w:jc w:val="center"/>
              <w:rPr>
                <w:rFonts w:ascii="Times New Roman" w:eastAsia="仿宋_GB2312" w:hAnsi="Times New Roman" w:cs="Times New Roman"/>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14:paraId="465F2D4C" w14:textId="77777777" w:rsidR="00E7170D" w:rsidRDefault="00837DBC">
            <w:pPr>
              <w:widowControl/>
              <w:spacing w:line="360" w:lineRule="exact"/>
              <w:rPr>
                <w:rFonts w:ascii="Times New Roman" w:eastAsia="仿宋_GB2312" w:hAnsi="Times New Roman" w:cs="Times New Roman"/>
                <w:bCs/>
                <w:sz w:val="24"/>
              </w:rPr>
            </w:pPr>
            <w:r>
              <w:rPr>
                <w:rFonts w:ascii="Times New Roman" w:eastAsia="仿宋_GB2312" w:hAnsi="Times New Roman" w:cs="Times New Roman"/>
                <w:bCs/>
                <w:sz w:val="24"/>
              </w:rPr>
              <w:t>雇主责任保险附加急性病身故</w:t>
            </w:r>
          </w:p>
        </w:tc>
        <w:tc>
          <w:tcPr>
            <w:tcW w:w="3833" w:type="dxa"/>
            <w:tcBorders>
              <w:top w:val="single" w:sz="4" w:space="0" w:color="auto"/>
              <w:left w:val="single" w:sz="4" w:space="0" w:color="auto"/>
              <w:bottom w:val="single" w:sz="4" w:space="0" w:color="auto"/>
              <w:right w:val="single" w:sz="4" w:space="0" w:color="auto"/>
            </w:tcBorders>
            <w:vAlign w:val="center"/>
          </w:tcPr>
          <w:p w14:paraId="4C59A56F" w14:textId="77777777" w:rsidR="00E7170D" w:rsidRDefault="00837DBC">
            <w:pPr>
              <w:widowControl/>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安保公司员工突发急性病，并在该次发作后一百八十日内因该急性病身故的，保险人按本附加险保险金额一次性给付身故保险金</w:t>
            </w:r>
          </w:p>
        </w:tc>
        <w:tc>
          <w:tcPr>
            <w:tcW w:w="850" w:type="dxa"/>
            <w:tcBorders>
              <w:top w:val="single" w:sz="4" w:space="0" w:color="auto"/>
              <w:left w:val="single" w:sz="4" w:space="0" w:color="auto"/>
              <w:bottom w:val="single" w:sz="4" w:space="0" w:color="auto"/>
              <w:right w:val="single" w:sz="4" w:space="0" w:color="auto"/>
            </w:tcBorders>
            <w:vAlign w:val="center"/>
          </w:tcPr>
          <w:p w14:paraId="262C7196"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30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120E4E4D" w14:textId="77777777" w:rsidR="00E7170D" w:rsidRDefault="00837DBC">
            <w:pPr>
              <w:widowControl/>
              <w:spacing w:line="360" w:lineRule="exact"/>
              <w:jc w:val="center"/>
              <w:rPr>
                <w:rFonts w:ascii="Times New Roman" w:hAnsi="Times New Roman" w:cs="Times New Roman"/>
              </w:rPr>
            </w:pPr>
            <w:r>
              <w:rPr>
                <w:rFonts w:ascii="Times New Roman" w:eastAsia="仿宋_GB2312" w:hAnsi="Times New Roman" w:cs="Times New Roman"/>
                <w:bCs/>
                <w:sz w:val="24"/>
              </w:rPr>
              <w:t>50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00" w:type="dxa"/>
            <w:tcBorders>
              <w:top w:val="single" w:sz="4" w:space="0" w:color="auto"/>
              <w:left w:val="single" w:sz="4" w:space="0" w:color="auto"/>
              <w:bottom w:val="single" w:sz="4" w:space="0" w:color="auto"/>
              <w:right w:val="single" w:sz="4" w:space="0" w:color="auto"/>
            </w:tcBorders>
            <w:vAlign w:val="center"/>
          </w:tcPr>
          <w:p w14:paraId="49DEAC66"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80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748" w:type="dxa"/>
            <w:tcBorders>
              <w:top w:val="single" w:sz="4" w:space="0" w:color="auto"/>
              <w:left w:val="single" w:sz="4" w:space="0" w:color="auto"/>
              <w:bottom w:val="single" w:sz="4" w:space="0" w:color="auto"/>
              <w:right w:val="single" w:sz="4" w:space="0" w:color="auto"/>
            </w:tcBorders>
            <w:vAlign w:val="center"/>
          </w:tcPr>
          <w:p w14:paraId="7E88A961" w14:textId="77777777" w:rsidR="00E7170D" w:rsidRDefault="00837DBC">
            <w:pPr>
              <w:widowControl/>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100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r>
      <w:tr w:rsidR="00E7170D" w14:paraId="441BCEA3" w14:textId="77777777">
        <w:trPr>
          <w:trHeight w:val="1129"/>
          <w:jc w:val="center"/>
        </w:trPr>
        <w:tc>
          <w:tcPr>
            <w:tcW w:w="1061" w:type="dxa"/>
            <w:vMerge/>
            <w:tcBorders>
              <w:top w:val="single" w:sz="4" w:space="0" w:color="auto"/>
              <w:left w:val="single" w:sz="4" w:space="0" w:color="auto"/>
              <w:bottom w:val="single" w:sz="4" w:space="0" w:color="auto"/>
              <w:right w:val="single" w:sz="4" w:space="0" w:color="auto"/>
            </w:tcBorders>
            <w:noWrap/>
            <w:vAlign w:val="center"/>
          </w:tcPr>
          <w:p w14:paraId="60C54884" w14:textId="77777777" w:rsidR="00E7170D" w:rsidRDefault="00E7170D">
            <w:pPr>
              <w:spacing w:line="360" w:lineRule="exact"/>
              <w:jc w:val="center"/>
              <w:rPr>
                <w:rFonts w:ascii="Times New Roman" w:eastAsia="仿宋_GB2312" w:hAnsi="Times New Roman" w:cs="Times New Roman"/>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14:paraId="0B7BDA34"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雇主责任保险附加急救费用保险</w:t>
            </w:r>
          </w:p>
        </w:tc>
        <w:tc>
          <w:tcPr>
            <w:tcW w:w="3833" w:type="dxa"/>
            <w:tcBorders>
              <w:top w:val="single" w:sz="4" w:space="0" w:color="auto"/>
              <w:left w:val="single" w:sz="4" w:space="0" w:color="auto"/>
              <w:bottom w:val="single" w:sz="4" w:space="0" w:color="auto"/>
              <w:right w:val="single" w:sz="4" w:space="0" w:color="auto"/>
            </w:tcBorders>
            <w:vAlign w:val="center"/>
          </w:tcPr>
          <w:p w14:paraId="296EC619"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安保公司员工因保险责任范围内的事故遭受人身损害时，应支付的合理急救费用</w:t>
            </w:r>
          </w:p>
        </w:tc>
        <w:tc>
          <w:tcPr>
            <w:tcW w:w="850" w:type="dxa"/>
            <w:tcBorders>
              <w:top w:val="single" w:sz="4" w:space="0" w:color="auto"/>
              <w:left w:val="single" w:sz="4" w:space="0" w:color="auto"/>
              <w:bottom w:val="single" w:sz="4" w:space="0" w:color="auto"/>
              <w:right w:val="single" w:sz="4" w:space="0" w:color="auto"/>
            </w:tcBorders>
            <w:vAlign w:val="center"/>
          </w:tcPr>
          <w:p w14:paraId="19B27252"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5</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6DD860F8" w14:textId="77777777" w:rsidR="00E7170D" w:rsidRDefault="00837DBC">
            <w:pPr>
              <w:spacing w:line="360" w:lineRule="exact"/>
              <w:jc w:val="center"/>
              <w:rPr>
                <w:rFonts w:ascii="Times New Roman" w:hAnsi="Times New Roman" w:cs="Times New Roman"/>
              </w:rPr>
            </w:pPr>
            <w:r>
              <w:rPr>
                <w:rFonts w:ascii="Times New Roman" w:eastAsia="仿宋_GB2312" w:hAnsi="Times New Roman" w:cs="Times New Roman"/>
                <w:bCs/>
                <w:sz w:val="24"/>
              </w:rPr>
              <w:t>10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800" w:type="dxa"/>
            <w:tcBorders>
              <w:top w:val="single" w:sz="4" w:space="0" w:color="auto"/>
              <w:left w:val="single" w:sz="4" w:space="0" w:color="auto"/>
              <w:bottom w:val="single" w:sz="4" w:space="0" w:color="auto"/>
              <w:right w:val="single" w:sz="4" w:space="0" w:color="auto"/>
            </w:tcBorders>
            <w:vAlign w:val="center"/>
          </w:tcPr>
          <w:p w14:paraId="210CF83E"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15</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c>
          <w:tcPr>
            <w:tcW w:w="752" w:type="dxa"/>
            <w:tcBorders>
              <w:top w:val="single" w:sz="4" w:space="0" w:color="auto"/>
              <w:left w:val="single" w:sz="4" w:space="0" w:color="auto"/>
              <w:bottom w:val="single" w:sz="4" w:space="0" w:color="auto"/>
              <w:right w:val="single" w:sz="4" w:space="0" w:color="auto"/>
            </w:tcBorders>
            <w:vAlign w:val="center"/>
          </w:tcPr>
          <w:p w14:paraId="099C169A"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20</w:t>
            </w:r>
            <w:r>
              <w:rPr>
                <w:rFonts w:ascii="Times New Roman" w:eastAsia="仿宋_GB2312" w:hAnsi="Times New Roman" w:cs="Times New Roman"/>
                <w:bCs/>
                <w:sz w:val="24"/>
              </w:rPr>
              <w:t>万元</w:t>
            </w:r>
            <w:r>
              <w:rPr>
                <w:rFonts w:ascii="Times New Roman" w:eastAsia="仿宋_GB2312" w:hAnsi="Times New Roman" w:cs="Times New Roman"/>
                <w:bCs/>
                <w:sz w:val="24"/>
              </w:rPr>
              <w:t>/</w:t>
            </w:r>
            <w:r>
              <w:rPr>
                <w:rFonts w:ascii="Times New Roman" w:eastAsia="仿宋_GB2312" w:hAnsi="Times New Roman" w:cs="Times New Roman"/>
                <w:bCs/>
                <w:sz w:val="24"/>
              </w:rPr>
              <w:t>人</w:t>
            </w:r>
          </w:p>
        </w:tc>
      </w:tr>
      <w:tr w:rsidR="00E7170D" w14:paraId="270562CB" w14:textId="77777777">
        <w:trPr>
          <w:trHeight w:val="1129"/>
          <w:jc w:val="center"/>
        </w:trPr>
        <w:tc>
          <w:tcPr>
            <w:tcW w:w="1061" w:type="dxa"/>
            <w:vMerge/>
            <w:tcBorders>
              <w:top w:val="single" w:sz="4" w:space="0" w:color="auto"/>
              <w:left w:val="single" w:sz="4" w:space="0" w:color="auto"/>
              <w:bottom w:val="single" w:sz="4" w:space="0" w:color="auto"/>
              <w:right w:val="single" w:sz="4" w:space="0" w:color="auto"/>
            </w:tcBorders>
            <w:noWrap/>
            <w:vAlign w:val="center"/>
          </w:tcPr>
          <w:p w14:paraId="79D321FF" w14:textId="77777777" w:rsidR="00E7170D" w:rsidRDefault="00E7170D">
            <w:pPr>
              <w:spacing w:line="360" w:lineRule="exact"/>
              <w:jc w:val="center"/>
              <w:rPr>
                <w:rFonts w:ascii="Times New Roman" w:eastAsia="仿宋_GB2312" w:hAnsi="Times New Roman" w:cs="Times New Roman"/>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14:paraId="33CC2B39"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保安企业责任险</w:t>
            </w:r>
          </w:p>
        </w:tc>
        <w:tc>
          <w:tcPr>
            <w:tcW w:w="3833" w:type="dxa"/>
            <w:tcBorders>
              <w:top w:val="single" w:sz="4" w:space="0" w:color="auto"/>
              <w:left w:val="single" w:sz="4" w:space="0" w:color="auto"/>
              <w:bottom w:val="single" w:sz="4" w:space="0" w:color="auto"/>
              <w:right w:val="single" w:sz="4" w:space="0" w:color="auto"/>
            </w:tcBorders>
            <w:vAlign w:val="center"/>
          </w:tcPr>
          <w:p w14:paraId="3AA2FFA7"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保安公司依法应当赔偿的责任的第三者财产损失、人身伤亡</w:t>
            </w:r>
          </w:p>
        </w:tc>
        <w:tc>
          <w:tcPr>
            <w:tcW w:w="3227"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1A366A42"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累计事故赔偿限额：</w:t>
            </w:r>
          </w:p>
          <w:p w14:paraId="34972F7B"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500</w:t>
            </w:r>
            <w:r>
              <w:rPr>
                <w:rFonts w:ascii="Times New Roman" w:eastAsia="仿宋_GB2312" w:hAnsi="Times New Roman" w:cs="Times New Roman"/>
                <w:bCs/>
                <w:sz w:val="24"/>
              </w:rPr>
              <w:t>万元</w:t>
            </w:r>
            <w:r>
              <w:rPr>
                <w:rFonts w:ascii="Times New Roman" w:eastAsia="仿宋_GB2312" w:hAnsi="Times New Roman" w:cs="Times New Roman"/>
                <w:bCs/>
                <w:sz w:val="24"/>
              </w:rPr>
              <w:t>/1000</w:t>
            </w:r>
            <w:r>
              <w:rPr>
                <w:rFonts w:ascii="Times New Roman" w:eastAsia="仿宋_GB2312" w:hAnsi="Times New Roman" w:cs="Times New Roman"/>
                <w:bCs/>
                <w:sz w:val="24"/>
              </w:rPr>
              <w:t>万元</w:t>
            </w:r>
            <w:r>
              <w:rPr>
                <w:rFonts w:ascii="Times New Roman" w:eastAsia="仿宋_GB2312" w:hAnsi="Times New Roman" w:cs="Times New Roman"/>
                <w:bCs/>
                <w:sz w:val="24"/>
              </w:rPr>
              <w:t>/1500</w:t>
            </w:r>
            <w:r>
              <w:rPr>
                <w:rFonts w:ascii="Times New Roman" w:eastAsia="仿宋_GB2312" w:hAnsi="Times New Roman" w:cs="Times New Roman"/>
                <w:bCs/>
                <w:sz w:val="24"/>
              </w:rPr>
              <w:t>万元</w:t>
            </w:r>
            <w:r>
              <w:rPr>
                <w:rFonts w:ascii="Times New Roman" w:eastAsia="仿宋_GB2312" w:hAnsi="Times New Roman" w:cs="Times New Roman"/>
                <w:bCs/>
                <w:sz w:val="24"/>
              </w:rPr>
              <w:t>/2000</w:t>
            </w:r>
            <w:r>
              <w:rPr>
                <w:rFonts w:ascii="Times New Roman" w:eastAsia="仿宋_GB2312" w:hAnsi="Times New Roman" w:cs="Times New Roman"/>
                <w:bCs/>
                <w:sz w:val="24"/>
              </w:rPr>
              <w:t>万元</w:t>
            </w:r>
          </w:p>
        </w:tc>
      </w:tr>
    </w:tbl>
    <w:p w14:paraId="14ABC8CF" w14:textId="77777777" w:rsidR="00E7170D" w:rsidRDefault="00837DBC">
      <w:pPr>
        <w:spacing w:line="579" w:lineRule="exact"/>
        <w:ind w:firstLineChars="200" w:firstLine="640"/>
        <w:rPr>
          <w:rFonts w:ascii="Times New Roman" w:eastAsia="仿宋"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保安从业单位</w:t>
      </w:r>
      <w:r>
        <w:rPr>
          <w:rFonts w:ascii="Times New Roman" w:eastAsia="仿宋_GB2312" w:hAnsi="Times New Roman" w:cs="Times New Roman"/>
          <w:bCs/>
          <w:sz w:val="32"/>
          <w:szCs w:val="32"/>
        </w:rPr>
        <w:t>自有或租赁的固定资产、流动资产等（机动车辆除外）财产保险</w:t>
      </w:r>
      <w:r>
        <w:rPr>
          <w:rFonts w:ascii="Times New Roman" w:eastAsia="仿宋" w:hAnsi="Times New Roman" w:cs="Times New Roman"/>
          <w:bCs/>
          <w:sz w:val="32"/>
          <w:szCs w:val="32"/>
        </w:rPr>
        <w:t>投保基础方案如下：</w:t>
      </w:r>
    </w:p>
    <w:tbl>
      <w:tblPr>
        <w:tblW w:w="9830" w:type="dxa"/>
        <w:jc w:val="center"/>
        <w:tblLayout w:type="fixed"/>
        <w:tblLook w:val="04A0" w:firstRow="1" w:lastRow="0" w:firstColumn="1" w:lastColumn="0" w:noHBand="0" w:noVBand="1"/>
      </w:tblPr>
      <w:tblGrid>
        <w:gridCol w:w="1075"/>
        <w:gridCol w:w="1650"/>
        <w:gridCol w:w="3838"/>
        <w:gridCol w:w="3267"/>
      </w:tblGrid>
      <w:tr w:rsidR="00E7170D" w14:paraId="4D30A750" w14:textId="77777777">
        <w:trPr>
          <w:trHeight w:val="556"/>
          <w:jc w:val="center"/>
        </w:trPr>
        <w:tc>
          <w:tcPr>
            <w:tcW w:w="107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D43767B"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险类</w:t>
            </w:r>
          </w:p>
        </w:tc>
        <w:tc>
          <w:tcPr>
            <w:tcW w:w="1650" w:type="dxa"/>
            <w:tcBorders>
              <w:top w:val="single" w:sz="4" w:space="0" w:color="auto"/>
              <w:left w:val="nil"/>
              <w:bottom w:val="single" w:sz="4" w:space="0" w:color="auto"/>
              <w:right w:val="single" w:sz="4" w:space="0" w:color="auto"/>
            </w:tcBorders>
            <w:shd w:val="clear" w:color="000000" w:fill="auto"/>
            <w:noWrap/>
            <w:vAlign w:val="center"/>
          </w:tcPr>
          <w:p w14:paraId="402518E3"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险种</w:t>
            </w:r>
          </w:p>
        </w:tc>
        <w:tc>
          <w:tcPr>
            <w:tcW w:w="3838" w:type="dxa"/>
            <w:tcBorders>
              <w:top w:val="single" w:sz="4" w:space="0" w:color="auto"/>
              <w:left w:val="nil"/>
              <w:bottom w:val="single" w:sz="4" w:space="0" w:color="auto"/>
              <w:right w:val="single" w:sz="4" w:space="0" w:color="auto"/>
            </w:tcBorders>
            <w:shd w:val="clear" w:color="000000" w:fill="auto"/>
            <w:noWrap/>
            <w:vAlign w:val="center"/>
          </w:tcPr>
          <w:p w14:paraId="6A388BE3"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保险责任</w:t>
            </w:r>
          </w:p>
        </w:tc>
        <w:tc>
          <w:tcPr>
            <w:tcW w:w="3267" w:type="dxa"/>
            <w:tcBorders>
              <w:top w:val="single" w:sz="4" w:space="0" w:color="auto"/>
              <w:left w:val="nil"/>
              <w:bottom w:val="single" w:sz="4" w:space="0" w:color="auto"/>
              <w:right w:val="single" w:sz="4" w:space="0" w:color="auto"/>
            </w:tcBorders>
            <w:shd w:val="clear" w:color="000000" w:fill="auto"/>
            <w:noWrap/>
            <w:vAlign w:val="center"/>
          </w:tcPr>
          <w:p w14:paraId="165B71FD"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保险金额</w:t>
            </w:r>
          </w:p>
        </w:tc>
      </w:tr>
      <w:tr w:rsidR="00E7170D" w14:paraId="732055A7" w14:textId="77777777">
        <w:trPr>
          <w:trHeight w:val="1131"/>
          <w:jc w:val="center"/>
        </w:trPr>
        <w:tc>
          <w:tcPr>
            <w:tcW w:w="1075" w:type="dxa"/>
            <w:tcBorders>
              <w:top w:val="nil"/>
              <w:left w:val="single" w:sz="4" w:space="0" w:color="auto"/>
              <w:bottom w:val="single" w:sz="4" w:space="0" w:color="auto"/>
              <w:right w:val="single" w:sz="4" w:space="0" w:color="auto"/>
            </w:tcBorders>
            <w:noWrap/>
            <w:vAlign w:val="center"/>
          </w:tcPr>
          <w:p w14:paraId="5E8F8EF0"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财产险</w:t>
            </w:r>
          </w:p>
        </w:tc>
        <w:tc>
          <w:tcPr>
            <w:tcW w:w="1650" w:type="dxa"/>
            <w:tcBorders>
              <w:top w:val="nil"/>
              <w:left w:val="nil"/>
              <w:bottom w:val="single" w:sz="4" w:space="0" w:color="auto"/>
              <w:right w:val="single" w:sz="4" w:space="0" w:color="auto"/>
            </w:tcBorders>
            <w:vAlign w:val="center"/>
          </w:tcPr>
          <w:p w14:paraId="446B7616"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财产一切险</w:t>
            </w:r>
          </w:p>
        </w:tc>
        <w:tc>
          <w:tcPr>
            <w:tcW w:w="3838" w:type="dxa"/>
            <w:tcBorders>
              <w:top w:val="nil"/>
              <w:left w:val="nil"/>
              <w:bottom w:val="single" w:sz="4" w:space="0" w:color="auto"/>
              <w:right w:val="single" w:sz="4" w:space="0" w:color="auto"/>
            </w:tcBorders>
          </w:tcPr>
          <w:p w14:paraId="699E0F38"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因自然灾害或意外事故造成保险标的的直接损坏或灭失，以及必要合理的抢救导致标的的损失、防止或减少损失所支付的必要合理的费用，保险公司负责赔偿。</w:t>
            </w:r>
          </w:p>
        </w:tc>
        <w:tc>
          <w:tcPr>
            <w:tcW w:w="3267" w:type="dxa"/>
            <w:tcBorders>
              <w:top w:val="nil"/>
              <w:left w:val="nil"/>
              <w:bottom w:val="single" w:sz="4" w:space="0" w:color="auto"/>
              <w:right w:val="single" w:sz="4" w:space="0" w:color="auto"/>
            </w:tcBorders>
            <w:vAlign w:val="center"/>
          </w:tcPr>
          <w:p w14:paraId="6FBAC064"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固定资产保额可根据原值、评估价或净值加成确定；</w:t>
            </w:r>
          </w:p>
          <w:p w14:paraId="6A73AF7E"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流动资产保额可根据投保单位年度报表平均值确定；</w:t>
            </w:r>
            <w:r>
              <w:rPr>
                <w:rFonts w:ascii="Times New Roman" w:eastAsia="仿宋_GB2312" w:hAnsi="Times New Roman" w:cs="Times New Roman"/>
                <w:bCs/>
                <w:sz w:val="24"/>
              </w:rPr>
              <w:t xml:space="preserve"> </w:t>
            </w:r>
          </w:p>
        </w:tc>
      </w:tr>
    </w:tbl>
    <w:p w14:paraId="3A82E28D" w14:textId="77777777" w:rsidR="00E7170D" w:rsidRDefault="00837DBC">
      <w:pPr>
        <w:spacing w:line="579" w:lineRule="exact"/>
        <w:ind w:firstLineChars="200" w:firstLine="640"/>
        <w:rPr>
          <w:rFonts w:ascii="Times New Roman" w:eastAsia="仿宋"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保安从业单位</w:t>
      </w:r>
      <w:r>
        <w:rPr>
          <w:rFonts w:ascii="Times New Roman" w:eastAsia="仿宋_GB2312" w:hAnsi="Times New Roman" w:cs="Times New Roman"/>
          <w:bCs/>
          <w:sz w:val="32"/>
          <w:szCs w:val="32"/>
        </w:rPr>
        <w:t>的机动车辆交强险及各类商业保险投保基础方案如下</w:t>
      </w:r>
      <w:r>
        <w:rPr>
          <w:rFonts w:ascii="Times New Roman" w:eastAsia="仿宋" w:hAnsi="Times New Roman" w:cs="Times New Roman"/>
          <w:bCs/>
          <w:sz w:val="32"/>
          <w:szCs w:val="32"/>
        </w:rPr>
        <w:t>：</w:t>
      </w:r>
    </w:p>
    <w:tbl>
      <w:tblPr>
        <w:tblW w:w="9742" w:type="dxa"/>
        <w:jc w:val="center"/>
        <w:tblLayout w:type="fixed"/>
        <w:tblLook w:val="04A0" w:firstRow="1" w:lastRow="0" w:firstColumn="1" w:lastColumn="0" w:noHBand="0" w:noVBand="1"/>
      </w:tblPr>
      <w:tblGrid>
        <w:gridCol w:w="805"/>
        <w:gridCol w:w="960"/>
        <w:gridCol w:w="4776"/>
        <w:gridCol w:w="3201"/>
      </w:tblGrid>
      <w:tr w:rsidR="00E7170D" w14:paraId="4F09D419" w14:textId="77777777">
        <w:trPr>
          <w:trHeight w:val="285"/>
          <w:jc w:val="center"/>
        </w:trPr>
        <w:tc>
          <w:tcPr>
            <w:tcW w:w="80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A3A10DE"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lastRenderedPageBreak/>
              <w:t>险类</w:t>
            </w:r>
          </w:p>
        </w:tc>
        <w:tc>
          <w:tcPr>
            <w:tcW w:w="960" w:type="dxa"/>
            <w:tcBorders>
              <w:top w:val="single" w:sz="4" w:space="0" w:color="auto"/>
              <w:left w:val="nil"/>
              <w:bottom w:val="single" w:sz="4" w:space="0" w:color="auto"/>
              <w:right w:val="single" w:sz="4" w:space="0" w:color="auto"/>
            </w:tcBorders>
            <w:shd w:val="clear" w:color="000000" w:fill="auto"/>
            <w:noWrap/>
            <w:vAlign w:val="center"/>
          </w:tcPr>
          <w:p w14:paraId="30A5DFBA"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险种</w:t>
            </w:r>
          </w:p>
        </w:tc>
        <w:tc>
          <w:tcPr>
            <w:tcW w:w="4776" w:type="dxa"/>
            <w:tcBorders>
              <w:top w:val="single" w:sz="4" w:space="0" w:color="auto"/>
              <w:left w:val="nil"/>
              <w:bottom w:val="single" w:sz="4" w:space="0" w:color="auto"/>
              <w:right w:val="single" w:sz="4" w:space="0" w:color="auto"/>
            </w:tcBorders>
            <w:shd w:val="clear" w:color="000000" w:fill="auto"/>
            <w:noWrap/>
            <w:vAlign w:val="center"/>
          </w:tcPr>
          <w:p w14:paraId="6684BC8F"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保险责任</w:t>
            </w:r>
          </w:p>
        </w:tc>
        <w:tc>
          <w:tcPr>
            <w:tcW w:w="3201" w:type="dxa"/>
            <w:tcBorders>
              <w:top w:val="single" w:sz="4" w:space="0" w:color="auto"/>
              <w:left w:val="nil"/>
              <w:bottom w:val="single" w:sz="4" w:space="0" w:color="auto"/>
              <w:right w:val="single" w:sz="4" w:space="0" w:color="auto"/>
            </w:tcBorders>
            <w:shd w:val="clear" w:color="000000" w:fill="auto"/>
            <w:noWrap/>
            <w:vAlign w:val="center"/>
          </w:tcPr>
          <w:p w14:paraId="0D429990" w14:textId="77777777" w:rsidR="00E7170D" w:rsidRDefault="00837DBC">
            <w:pPr>
              <w:spacing w:line="360" w:lineRule="exact"/>
              <w:jc w:val="center"/>
              <w:rPr>
                <w:rFonts w:ascii="Times New Roman" w:eastAsia="仿宋_GB2312" w:hAnsi="Times New Roman" w:cs="Times New Roman"/>
                <w:b/>
                <w:sz w:val="24"/>
              </w:rPr>
            </w:pPr>
            <w:r>
              <w:rPr>
                <w:rFonts w:ascii="Times New Roman" w:eastAsia="仿宋_GB2312" w:hAnsi="Times New Roman" w:cs="Times New Roman"/>
                <w:b/>
                <w:sz w:val="24"/>
              </w:rPr>
              <w:t>方案</w:t>
            </w:r>
          </w:p>
        </w:tc>
      </w:tr>
      <w:tr w:rsidR="00E7170D" w14:paraId="549762DD" w14:textId="77777777">
        <w:trPr>
          <w:trHeight w:val="1131"/>
          <w:jc w:val="center"/>
        </w:trPr>
        <w:tc>
          <w:tcPr>
            <w:tcW w:w="805" w:type="dxa"/>
            <w:vMerge w:val="restart"/>
            <w:tcBorders>
              <w:top w:val="single" w:sz="4" w:space="0" w:color="auto"/>
              <w:left w:val="single" w:sz="4" w:space="0" w:color="auto"/>
              <w:bottom w:val="single" w:sz="4" w:space="0" w:color="auto"/>
              <w:right w:val="single" w:sz="4" w:space="0" w:color="auto"/>
            </w:tcBorders>
            <w:noWrap/>
            <w:vAlign w:val="center"/>
          </w:tcPr>
          <w:p w14:paraId="471A920E"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机动车辆保险</w:t>
            </w:r>
          </w:p>
        </w:tc>
        <w:tc>
          <w:tcPr>
            <w:tcW w:w="960" w:type="dxa"/>
            <w:tcBorders>
              <w:top w:val="single" w:sz="4" w:space="0" w:color="auto"/>
              <w:left w:val="single" w:sz="4" w:space="0" w:color="auto"/>
              <w:bottom w:val="single" w:sz="4" w:space="0" w:color="auto"/>
              <w:right w:val="single" w:sz="4" w:space="0" w:color="auto"/>
            </w:tcBorders>
            <w:vAlign w:val="center"/>
          </w:tcPr>
          <w:p w14:paraId="61620E28"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交强险</w:t>
            </w:r>
          </w:p>
        </w:tc>
        <w:tc>
          <w:tcPr>
            <w:tcW w:w="4776" w:type="dxa"/>
            <w:tcBorders>
              <w:top w:val="single" w:sz="4" w:space="0" w:color="auto"/>
              <w:left w:val="single" w:sz="4" w:space="0" w:color="auto"/>
              <w:bottom w:val="single" w:sz="4" w:space="0" w:color="auto"/>
              <w:right w:val="single" w:sz="4" w:space="0" w:color="auto"/>
            </w:tcBorders>
            <w:vAlign w:val="center"/>
          </w:tcPr>
          <w:p w14:paraId="09C60407"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被保险人在使用被保险机动车过程中发生交通事故，致使受害人遭受人身伤亡或者财产损失，依法应当由被保险人承担的损害赔偿责任</w:t>
            </w:r>
          </w:p>
        </w:tc>
        <w:tc>
          <w:tcPr>
            <w:tcW w:w="3201" w:type="dxa"/>
            <w:tcBorders>
              <w:top w:val="single" w:sz="4" w:space="0" w:color="auto"/>
              <w:left w:val="single" w:sz="4" w:space="0" w:color="auto"/>
              <w:bottom w:val="single" w:sz="4" w:space="0" w:color="auto"/>
              <w:right w:val="single" w:sz="4" w:space="0" w:color="auto"/>
            </w:tcBorders>
            <w:vAlign w:val="center"/>
          </w:tcPr>
          <w:p w14:paraId="0C953ED0"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死亡伤残赔偿限额为</w:t>
            </w:r>
            <w:r>
              <w:rPr>
                <w:rFonts w:ascii="Times New Roman" w:eastAsia="仿宋_GB2312" w:hAnsi="Times New Roman" w:cs="Times New Roman"/>
                <w:bCs/>
                <w:sz w:val="24"/>
              </w:rPr>
              <w:t>18</w:t>
            </w:r>
            <w:r>
              <w:rPr>
                <w:rFonts w:ascii="Times New Roman" w:eastAsia="仿宋_GB2312" w:hAnsi="Times New Roman" w:cs="Times New Roman"/>
                <w:bCs/>
                <w:sz w:val="24"/>
              </w:rPr>
              <w:t>万元，医疗费用赔偿限额为</w:t>
            </w:r>
            <w:r>
              <w:rPr>
                <w:rFonts w:ascii="Times New Roman" w:eastAsia="仿宋_GB2312" w:hAnsi="Times New Roman" w:cs="Times New Roman"/>
                <w:bCs/>
                <w:sz w:val="24"/>
              </w:rPr>
              <w:t>1.8</w:t>
            </w:r>
            <w:r>
              <w:rPr>
                <w:rFonts w:ascii="Times New Roman" w:eastAsia="仿宋_GB2312" w:hAnsi="Times New Roman" w:cs="Times New Roman"/>
                <w:bCs/>
                <w:sz w:val="24"/>
              </w:rPr>
              <w:t>万元，财产损失赔偿限额为</w:t>
            </w:r>
            <w:r>
              <w:rPr>
                <w:rFonts w:ascii="Times New Roman" w:eastAsia="仿宋_GB2312" w:hAnsi="Times New Roman" w:cs="Times New Roman"/>
                <w:bCs/>
                <w:sz w:val="24"/>
              </w:rPr>
              <w:t>2000</w:t>
            </w:r>
            <w:r>
              <w:rPr>
                <w:rFonts w:ascii="Times New Roman" w:eastAsia="仿宋_GB2312" w:hAnsi="Times New Roman" w:cs="Times New Roman"/>
                <w:bCs/>
                <w:sz w:val="24"/>
              </w:rPr>
              <w:t>元；被保险人无责任时，无责任死亡伤残赔偿限额为</w:t>
            </w:r>
            <w:r>
              <w:rPr>
                <w:rFonts w:ascii="Times New Roman" w:eastAsia="仿宋_GB2312" w:hAnsi="Times New Roman" w:cs="Times New Roman"/>
                <w:bCs/>
                <w:sz w:val="24"/>
              </w:rPr>
              <w:t>1.8</w:t>
            </w:r>
            <w:r>
              <w:rPr>
                <w:rFonts w:ascii="Times New Roman" w:eastAsia="仿宋_GB2312" w:hAnsi="Times New Roman" w:cs="Times New Roman"/>
                <w:bCs/>
                <w:sz w:val="24"/>
              </w:rPr>
              <w:t>万元；无责任医疗费用赔偿限额为</w:t>
            </w:r>
            <w:r>
              <w:rPr>
                <w:rFonts w:ascii="Times New Roman" w:eastAsia="仿宋_GB2312" w:hAnsi="Times New Roman" w:cs="Times New Roman"/>
                <w:bCs/>
                <w:sz w:val="24"/>
              </w:rPr>
              <w:t>1800</w:t>
            </w:r>
            <w:r>
              <w:rPr>
                <w:rFonts w:ascii="Times New Roman" w:eastAsia="仿宋_GB2312" w:hAnsi="Times New Roman" w:cs="Times New Roman"/>
                <w:bCs/>
                <w:sz w:val="24"/>
              </w:rPr>
              <w:t>元；无责任财产损失赔偿限额为</w:t>
            </w:r>
            <w:r>
              <w:rPr>
                <w:rFonts w:ascii="Times New Roman" w:eastAsia="仿宋_GB2312" w:hAnsi="Times New Roman" w:cs="Times New Roman"/>
                <w:bCs/>
                <w:sz w:val="24"/>
              </w:rPr>
              <w:t>100</w:t>
            </w:r>
            <w:r>
              <w:rPr>
                <w:rFonts w:ascii="Times New Roman" w:eastAsia="仿宋_GB2312" w:hAnsi="Times New Roman" w:cs="Times New Roman"/>
                <w:bCs/>
                <w:sz w:val="24"/>
              </w:rPr>
              <w:t>元</w:t>
            </w:r>
          </w:p>
        </w:tc>
      </w:tr>
      <w:tr w:rsidR="00E7170D" w14:paraId="5EEE42F9" w14:textId="77777777">
        <w:trPr>
          <w:trHeight w:val="1131"/>
          <w:jc w:val="center"/>
        </w:trPr>
        <w:tc>
          <w:tcPr>
            <w:tcW w:w="805" w:type="dxa"/>
            <w:vMerge/>
            <w:tcBorders>
              <w:top w:val="single" w:sz="4" w:space="0" w:color="auto"/>
              <w:left w:val="single" w:sz="4" w:space="0" w:color="auto"/>
              <w:bottom w:val="single" w:sz="4" w:space="0" w:color="auto"/>
              <w:right w:val="single" w:sz="4" w:space="0" w:color="auto"/>
            </w:tcBorders>
            <w:noWrap/>
            <w:vAlign w:val="center"/>
          </w:tcPr>
          <w:p w14:paraId="4EB8A60E" w14:textId="77777777" w:rsidR="00E7170D" w:rsidRDefault="00E7170D">
            <w:pPr>
              <w:spacing w:line="360" w:lineRule="exact"/>
              <w:jc w:val="center"/>
              <w:rPr>
                <w:rFonts w:ascii="Times New Roman" w:eastAsia="仿宋_GB2312" w:hAnsi="Times New Roman" w:cs="Times New Roman"/>
                <w:bCs/>
                <w:sz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1CC744E6"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机动车损失保险</w:t>
            </w:r>
          </w:p>
        </w:tc>
        <w:tc>
          <w:tcPr>
            <w:tcW w:w="4776" w:type="dxa"/>
            <w:tcBorders>
              <w:top w:val="single" w:sz="4" w:space="0" w:color="auto"/>
              <w:left w:val="single" w:sz="4" w:space="0" w:color="auto"/>
              <w:bottom w:val="single" w:sz="4" w:space="0" w:color="auto"/>
              <w:right w:val="single" w:sz="4" w:space="0" w:color="auto"/>
            </w:tcBorders>
            <w:vAlign w:val="center"/>
          </w:tcPr>
          <w:p w14:paraId="23AAEEEB"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被保险人或被保险机动车驾驶人在使用被保险机动车过程中，因自然灾害、意外事故造成被保险机动车直接损失；被保险机动车被盗窃、抢劫、抢夺，经出险地县级以上公安刑侦部门立案证明，满</w:t>
            </w:r>
            <w:r>
              <w:rPr>
                <w:rFonts w:ascii="Times New Roman" w:eastAsia="仿宋_GB2312" w:hAnsi="Times New Roman" w:cs="Times New Roman"/>
                <w:bCs/>
                <w:sz w:val="24"/>
              </w:rPr>
              <w:t>60</w:t>
            </w:r>
            <w:r>
              <w:rPr>
                <w:rFonts w:ascii="Times New Roman" w:eastAsia="仿宋_GB2312" w:hAnsi="Times New Roman" w:cs="Times New Roman"/>
                <w:bCs/>
                <w:sz w:val="24"/>
              </w:rPr>
              <w:t>天未查明下落的全车损失，以及因被盗窃、抢劫、抢夺受到损坏造成的直接损失</w:t>
            </w:r>
          </w:p>
        </w:tc>
        <w:tc>
          <w:tcPr>
            <w:tcW w:w="3201" w:type="dxa"/>
            <w:tcBorders>
              <w:top w:val="single" w:sz="4" w:space="0" w:color="auto"/>
              <w:left w:val="single" w:sz="4" w:space="0" w:color="auto"/>
              <w:bottom w:val="single" w:sz="4" w:space="0" w:color="auto"/>
              <w:right w:val="single" w:sz="4" w:space="0" w:color="auto"/>
            </w:tcBorders>
            <w:vAlign w:val="center"/>
          </w:tcPr>
          <w:p w14:paraId="6F9C6C29"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保险金额按投保时被保险机动车的实际价值确定</w:t>
            </w:r>
          </w:p>
        </w:tc>
      </w:tr>
      <w:tr w:rsidR="00E7170D" w14:paraId="7D63FC20" w14:textId="77777777">
        <w:trPr>
          <w:trHeight w:val="1620"/>
          <w:jc w:val="center"/>
        </w:trPr>
        <w:tc>
          <w:tcPr>
            <w:tcW w:w="805" w:type="dxa"/>
            <w:vMerge/>
            <w:tcBorders>
              <w:top w:val="single" w:sz="4" w:space="0" w:color="auto"/>
              <w:left w:val="single" w:sz="4" w:space="0" w:color="auto"/>
              <w:bottom w:val="single" w:sz="4" w:space="0" w:color="auto"/>
              <w:right w:val="single" w:sz="4" w:space="0" w:color="auto"/>
            </w:tcBorders>
            <w:noWrap/>
            <w:vAlign w:val="center"/>
          </w:tcPr>
          <w:p w14:paraId="758C41D1" w14:textId="77777777" w:rsidR="00E7170D" w:rsidRDefault="00E7170D">
            <w:pPr>
              <w:spacing w:line="360" w:lineRule="exact"/>
              <w:jc w:val="center"/>
              <w:rPr>
                <w:rFonts w:ascii="Times New Roman" w:eastAsia="仿宋_GB2312" w:hAnsi="Times New Roman" w:cs="Times New Roman"/>
                <w:bCs/>
                <w:sz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20C5D654"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机动车第三者责任保险</w:t>
            </w:r>
          </w:p>
        </w:tc>
        <w:tc>
          <w:tcPr>
            <w:tcW w:w="4776" w:type="dxa"/>
            <w:tcBorders>
              <w:top w:val="single" w:sz="4" w:space="0" w:color="auto"/>
              <w:left w:val="single" w:sz="4" w:space="0" w:color="auto"/>
              <w:bottom w:val="single" w:sz="4" w:space="0" w:color="auto"/>
              <w:right w:val="single" w:sz="4" w:space="0" w:color="auto"/>
            </w:tcBorders>
            <w:vAlign w:val="center"/>
          </w:tcPr>
          <w:p w14:paraId="60BC2177"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被保险人或其允许的驾驶人在使用被保险机动车过程中发生意外事故，致使第三者遭受人身伤亡或财产直接损毁，依法应当对第三者承担的损害赔偿责任，对于超过交强险各分项赔偿限额的部分负责赔偿</w:t>
            </w:r>
          </w:p>
        </w:tc>
        <w:tc>
          <w:tcPr>
            <w:tcW w:w="3201" w:type="dxa"/>
            <w:tcBorders>
              <w:top w:val="single" w:sz="4" w:space="0" w:color="auto"/>
              <w:left w:val="single" w:sz="4" w:space="0" w:color="auto"/>
              <w:bottom w:val="single" w:sz="4" w:space="0" w:color="auto"/>
              <w:right w:val="single" w:sz="4" w:space="0" w:color="auto"/>
            </w:tcBorders>
            <w:vAlign w:val="center"/>
          </w:tcPr>
          <w:p w14:paraId="2C5CC0FA"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最高第三者责任的赔偿限额</w:t>
            </w:r>
            <w:r>
              <w:rPr>
                <w:rFonts w:ascii="Times New Roman" w:eastAsia="仿宋_GB2312" w:hAnsi="Times New Roman" w:cs="Times New Roman"/>
                <w:bCs/>
                <w:sz w:val="24"/>
              </w:rPr>
              <w:t>1000</w:t>
            </w:r>
            <w:r>
              <w:rPr>
                <w:rFonts w:ascii="Times New Roman" w:eastAsia="仿宋_GB2312" w:hAnsi="Times New Roman" w:cs="Times New Roman"/>
                <w:bCs/>
                <w:sz w:val="24"/>
              </w:rPr>
              <w:t>万，赔偿限额由投保人自主选择投保</w:t>
            </w:r>
          </w:p>
        </w:tc>
      </w:tr>
      <w:tr w:rsidR="00E7170D" w14:paraId="1BEC4AFD" w14:textId="77777777">
        <w:trPr>
          <w:trHeight w:val="1265"/>
          <w:jc w:val="center"/>
        </w:trPr>
        <w:tc>
          <w:tcPr>
            <w:tcW w:w="805" w:type="dxa"/>
            <w:vMerge/>
            <w:tcBorders>
              <w:left w:val="single" w:sz="4" w:space="0" w:color="auto"/>
              <w:bottom w:val="single" w:sz="4" w:space="0" w:color="auto"/>
              <w:right w:val="single" w:sz="4" w:space="0" w:color="auto"/>
            </w:tcBorders>
            <w:noWrap/>
            <w:vAlign w:val="center"/>
          </w:tcPr>
          <w:p w14:paraId="7FCC5880" w14:textId="77777777" w:rsidR="00E7170D" w:rsidRDefault="00E7170D">
            <w:pPr>
              <w:spacing w:line="360" w:lineRule="exact"/>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14:paraId="5D6C1086"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机动车车上人员责任保险</w:t>
            </w:r>
          </w:p>
        </w:tc>
        <w:tc>
          <w:tcPr>
            <w:tcW w:w="4776" w:type="dxa"/>
            <w:tcBorders>
              <w:top w:val="single" w:sz="4" w:space="0" w:color="auto"/>
              <w:left w:val="single" w:sz="4" w:space="0" w:color="auto"/>
              <w:bottom w:val="single" w:sz="4" w:space="0" w:color="auto"/>
              <w:right w:val="single" w:sz="4" w:space="0" w:color="auto"/>
            </w:tcBorders>
            <w:vAlign w:val="center"/>
          </w:tcPr>
          <w:p w14:paraId="15C2BF6C" w14:textId="77777777" w:rsidR="00E7170D" w:rsidRDefault="00837DBC">
            <w:pPr>
              <w:spacing w:line="360" w:lineRule="exact"/>
              <w:jc w:val="left"/>
              <w:rPr>
                <w:rFonts w:ascii="Times New Roman" w:eastAsia="仿宋_GB2312" w:hAnsi="Times New Roman" w:cs="Times New Roman"/>
                <w:bCs/>
                <w:sz w:val="24"/>
              </w:rPr>
            </w:pPr>
            <w:r>
              <w:rPr>
                <w:rFonts w:ascii="Times New Roman" w:eastAsia="仿宋_GB2312" w:hAnsi="Times New Roman" w:cs="Times New Roman"/>
                <w:bCs/>
                <w:sz w:val="24"/>
              </w:rPr>
              <w:t>在本保险合同的保险期间内，被保险人驾驶或乘坐保险单载明车牌号码的机动车辆，在自进入车厢时起至离开车厢时止的整个车辆行驶期间，因遭受交通事故导致身故、伤残的，保险人依照下列约定给付保险金，且给付各项保险金之和不超过保险金额。</w:t>
            </w:r>
          </w:p>
        </w:tc>
        <w:tc>
          <w:tcPr>
            <w:tcW w:w="3201" w:type="dxa"/>
            <w:tcBorders>
              <w:top w:val="single" w:sz="4" w:space="0" w:color="auto"/>
              <w:left w:val="single" w:sz="4" w:space="0" w:color="auto"/>
              <w:bottom w:val="single" w:sz="4" w:space="0" w:color="auto"/>
              <w:right w:val="single" w:sz="4" w:space="0" w:color="auto"/>
            </w:tcBorders>
            <w:vAlign w:val="center"/>
          </w:tcPr>
          <w:p w14:paraId="6B36446F" w14:textId="77777777" w:rsidR="00E7170D" w:rsidRDefault="00837DBC">
            <w:pPr>
              <w:spacing w:line="360" w:lineRule="exact"/>
              <w:jc w:val="center"/>
              <w:rPr>
                <w:rFonts w:ascii="Times New Roman" w:eastAsia="仿宋_GB2312" w:hAnsi="Times New Roman" w:cs="Times New Roman"/>
                <w:bCs/>
                <w:sz w:val="24"/>
              </w:rPr>
            </w:pPr>
            <w:r>
              <w:rPr>
                <w:rFonts w:ascii="Times New Roman" w:eastAsia="仿宋_GB2312" w:hAnsi="Times New Roman" w:cs="Times New Roman"/>
                <w:bCs/>
                <w:sz w:val="24"/>
              </w:rPr>
              <w:t>保险金额在投保时按投保人实际情况确定</w:t>
            </w:r>
          </w:p>
        </w:tc>
      </w:tr>
    </w:tbl>
    <w:p w14:paraId="53059EB5" w14:textId="77777777" w:rsidR="00E7170D" w:rsidRDefault="00837DBC">
      <w:pPr>
        <w:spacing w:line="579" w:lineRule="exact"/>
        <w:ind w:firstLineChars="200" w:firstLine="640"/>
        <w:rPr>
          <w:rFonts w:ascii="Times New Roman" w:eastAsia="仿宋"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保安从业单位</w:t>
      </w:r>
      <w:r>
        <w:rPr>
          <w:rFonts w:ascii="Times New Roman" w:eastAsia="仿宋_GB2312" w:hAnsi="Times New Roman" w:cs="Times New Roman"/>
          <w:bCs/>
          <w:sz w:val="32"/>
          <w:szCs w:val="32"/>
        </w:rPr>
        <w:t>货物运输保险</w:t>
      </w:r>
      <w:r>
        <w:rPr>
          <w:rFonts w:ascii="Times New Roman" w:eastAsia="仿宋" w:hAnsi="Times New Roman" w:cs="Times New Roman"/>
          <w:bCs/>
          <w:sz w:val="32"/>
          <w:szCs w:val="32"/>
        </w:rPr>
        <w:t>投保基础方案如下：</w:t>
      </w:r>
    </w:p>
    <w:tbl>
      <w:tblPr>
        <w:tblW w:w="9682" w:type="dxa"/>
        <w:jc w:val="center"/>
        <w:tblLayout w:type="fixed"/>
        <w:tblLook w:val="04A0" w:firstRow="1" w:lastRow="0" w:firstColumn="1" w:lastColumn="0" w:noHBand="0" w:noVBand="1"/>
      </w:tblPr>
      <w:tblGrid>
        <w:gridCol w:w="739"/>
        <w:gridCol w:w="744"/>
        <w:gridCol w:w="7056"/>
        <w:gridCol w:w="1143"/>
      </w:tblGrid>
      <w:tr w:rsidR="00E7170D" w14:paraId="3242D68D" w14:textId="77777777">
        <w:trPr>
          <w:trHeight w:val="285"/>
          <w:jc w:val="center"/>
        </w:trPr>
        <w:tc>
          <w:tcPr>
            <w:tcW w:w="73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A65495"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险类</w:t>
            </w:r>
          </w:p>
        </w:tc>
        <w:tc>
          <w:tcPr>
            <w:tcW w:w="744" w:type="dxa"/>
            <w:tcBorders>
              <w:top w:val="single" w:sz="4" w:space="0" w:color="auto"/>
              <w:left w:val="nil"/>
              <w:bottom w:val="single" w:sz="4" w:space="0" w:color="auto"/>
              <w:right w:val="single" w:sz="4" w:space="0" w:color="auto"/>
            </w:tcBorders>
            <w:shd w:val="clear" w:color="000000" w:fill="auto"/>
            <w:noWrap/>
            <w:vAlign w:val="center"/>
          </w:tcPr>
          <w:p w14:paraId="1D078EE7"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险种</w:t>
            </w:r>
          </w:p>
        </w:tc>
        <w:tc>
          <w:tcPr>
            <w:tcW w:w="7056" w:type="dxa"/>
            <w:tcBorders>
              <w:top w:val="single" w:sz="4" w:space="0" w:color="auto"/>
              <w:left w:val="nil"/>
              <w:bottom w:val="single" w:sz="4" w:space="0" w:color="auto"/>
              <w:right w:val="single" w:sz="4" w:space="0" w:color="auto"/>
            </w:tcBorders>
            <w:shd w:val="clear" w:color="000000" w:fill="auto"/>
            <w:noWrap/>
            <w:vAlign w:val="center"/>
          </w:tcPr>
          <w:p w14:paraId="4602054A"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保险责任</w:t>
            </w:r>
          </w:p>
        </w:tc>
        <w:tc>
          <w:tcPr>
            <w:tcW w:w="1143" w:type="dxa"/>
            <w:tcBorders>
              <w:top w:val="single" w:sz="4" w:space="0" w:color="auto"/>
              <w:left w:val="nil"/>
              <w:bottom w:val="single" w:sz="4" w:space="0" w:color="auto"/>
              <w:right w:val="single" w:sz="4" w:space="0" w:color="auto"/>
            </w:tcBorders>
            <w:shd w:val="clear" w:color="000000" w:fill="auto"/>
            <w:noWrap/>
            <w:vAlign w:val="center"/>
          </w:tcPr>
          <w:p w14:paraId="5691CBC3"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方案</w:t>
            </w:r>
          </w:p>
        </w:tc>
      </w:tr>
      <w:tr w:rsidR="00E7170D" w14:paraId="4DB89678" w14:textId="77777777">
        <w:trPr>
          <w:trHeight w:val="285"/>
          <w:jc w:val="center"/>
        </w:trPr>
        <w:tc>
          <w:tcPr>
            <w:tcW w:w="739"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92DA97A"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货物运输保险</w:t>
            </w:r>
          </w:p>
        </w:tc>
        <w:tc>
          <w:tcPr>
            <w:tcW w:w="744" w:type="dxa"/>
            <w:tcBorders>
              <w:top w:val="single" w:sz="4" w:space="0" w:color="auto"/>
              <w:left w:val="nil"/>
              <w:bottom w:val="single" w:sz="4" w:space="0" w:color="auto"/>
              <w:right w:val="single" w:sz="4" w:space="0" w:color="auto"/>
            </w:tcBorders>
            <w:shd w:val="clear" w:color="000000" w:fill="auto"/>
            <w:noWrap/>
            <w:vAlign w:val="center"/>
          </w:tcPr>
          <w:p w14:paraId="77CB8762"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国内公路货物运输保险</w:t>
            </w:r>
          </w:p>
        </w:tc>
        <w:tc>
          <w:tcPr>
            <w:tcW w:w="7056" w:type="dxa"/>
            <w:tcBorders>
              <w:top w:val="single" w:sz="4" w:space="0" w:color="auto"/>
              <w:left w:val="nil"/>
              <w:bottom w:val="single" w:sz="4" w:space="0" w:color="auto"/>
              <w:right w:val="single" w:sz="4" w:space="0" w:color="auto"/>
            </w:tcBorders>
            <w:shd w:val="clear" w:color="000000" w:fill="auto"/>
            <w:noWrap/>
            <w:vAlign w:val="center"/>
          </w:tcPr>
          <w:p w14:paraId="5615A12D"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因下列事故造成保险货物的损失和费用，保险人负责赔偿：</w:t>
            </w:r>
            <w:r>
              <w:rPr>
                <w:rFonts w:ascii="Times New Roman" w:eastAsia="仿宋_GB2312" w:hAnsi="Times New Roman" w:cs="Times New Roman"/>
                <w:sz w:val="24"/>
              </w:rPr>
              <w:br/>
            </w:r>
            <w:r>
              <w:rPr>
                <w:rFonts w:ascii="Times New Roman" w:eastAsia="仿宋_GB2312" w:hAnsi="Times New Roman" w:cs="Times New Roman"/>
                <w:sz w:val="24"/>
              </w:rPr>
              <w:t>（一）火灾、爆炸、雷电、冰雹、暴风、暴雨、洪水、海啸、地陷、崖崩、突发性滑坡、泥石流；</w:t>
            </w:r>
            <w:r>
              <w:rPr>
                <w:rFonts w:ascii="Times New Roman" w:eastAsia="仿宋_GB2312" w:hAnsi="Times New Roman" w:cs="Times New Roman"/>
                <w:sz w:val="24"/>
              </w:rPr>
              <w:t xml:space="preserve"> </w:t>
            </w:r>
          </w:p>
          <w:p w14:paraId="16D52ED1"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（二）因运输工具发生碰撞、倾覆或隧道、码头倒塌；</w:t>
            </w:r>
          </w:p>
          <w:p w14:paraId="0B71B7E2"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（三）装货、</w:t>
            </w:r>
            <w:r>
              <w:rPr>
                <w:rFonts w:ascii="Times New Roman" w:eastAsia="仿宋_GB2312" w:hAnsi="Times New Roman" w:cs="Times New Roman"/>
                <w:sz w:val="24"/>
              </w:rPr>
              <w:t>卸货</w:t>
            </w:r>
            <w:r>
              <w:rPr>
                <w:rFonts w:ascii="Times New Roman" w:eastAsia="仿宋_GB2312" w:hAnsi="Times New Roman" w:cs="Times New Roman"/>
                <w:sz w:val="24"/>
              </w:rPr>
              <w:t>或转载时因意外事故造成的损失；</w:t>
            </w:r>
            <w:r>
              <w:rPr>
                <w:rFonts w:ascii="Times New Roman" w:eastAsia="仿宋_GB2312" w:hAnsi="Times New Roman" w:cs="Times New Roman"/>
                <w:sz w:val="24"/>
              </w:rPr>
              <w:t xml:space="preserve"> </w:t>
            </w:r>
          </w:p>
          <w:p w14:paraId="24A8162C"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lastRenderedPageBreak/>
              <w:t>（四）因碰撞、挤压而造成货物破碎、弯曲、凹瘪、折断、开裂的损失；</w:t>
            </w:r>
            <w:r>
              <w:rPr>
                <w:rFonts w:ascii="Times New Roman" w:eastAsia="仿宋_GB2312" w:hAnsi="Times New Roman" w:cs="Times New Roman"/>
                <w:sz w:val="24"/>
              </w:rPr>
              <w:t xml:space="preserve"> </w:t>
            </w:r>
          </w:p>
          <w:p w14:paraId="5F674AE2"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（五）因包装破裂导致货物散失的损失；</w:t>
            </w:r>
            <w:r>
              <w:rPr>
                <w:rFonts w:ascii="Times New Roman" w:eastAsia="仿宋_GB2312" w:hAnsi="Times New Roman" w:cs="Times New Roman"/>
                <w:sz w:val="24"/>
              </w:rPr>
              <w:t xml:space="preserve"> </w:t>
            </w:r>
          </w:p>
          <w:p w14:paraId="18B0A316"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（六）液体货物因受碰撞或挤压致使所用容器损坏而渗漏的损失；</w:t>
            </w:r>
            <w:r>
              <w:rPr>
                <w:rFonts w:ascii="Times New Roman" w:eastAsia="仿宋_GB2312" w:hAnsi="Times New Roman" w:cs="Times New Roman"/>
                <w:sz w:val="24"/>
              </w:rPr>
              <w:t xml:space="preserve"> </w:t>
            </w:r>
          </w:p>
          <w:p w14:paraId="4B6D3472"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（七）符合安全运输规定而遭受雨淋的损失</w:t>
            </w:r>
          </w:p>
          <w:p w14:paraId="3781CEC2"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（八）施救费用</w:t>
            </w:r>
          </w:p>
        </w:tc>
        <w:tc>
          <w:tcPr>
            <w:tcW w:w="1143" w:type="dxa"/>
            <w:tcBorders>
              <w:top w:val="single" w:sz="4" w:space="0" w:color="auto"/>
              <w:left w:val="nil"/>
              <w:bottom w:val="single" w:sz="4" w:space="0" w:color="auto"/>
              <w:right w:val="single" w:sz="4" w:space="0" w:color="auto"/>
            </w:tcBorders>
            <w:shd w:val="clear" w:color="000000" w:fill="auto"/>
            <w:noWrap/>
            <w:vAlign w:val="center"/>
          </w:tcPr>
          <w:p w14:paraId="09E5BE0C"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保险金额在投保时按投保人实际情</w:t>
            </w:r>
            <w:r>
              <w:rPr>
                <w:rFonts w:ascii="Times New Roman" w:eastAsia="仿宋_GB2312" w:hAnsi="Times New Roman" w:cs="Times New Roman"/>
                <w:sz w:val="24"/>
              </w:rPr>
              <w:lastRenderedPageBreak/>
              <w:t>况确定</w:t>
            </w:r>
          </w:p>
        </w:tc>
      </w:tr>
    </w:tbl>
    <w:p w14:paraId="3D7157B4" w14:textId="77777777" w:rsidR="00E7170D" w:rsidRDefault="00837DBC">
      <w:pPr>
        <w:spacing w:line="579" w:lineRule="exact"/>
        <w:ind w:firstLineChars="200" w:firstLine="640"/>
        <w:rPr>
          <w:rFonts w:ascii="Times New Roman" w:eastAsia="仿宋"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保安从业人员</w:t>
      </w:r>
      <w:r>
        <w:rPr>
          <w:rFonts w:ascii="Times New Roman" w:eastAsia="仿宋_GB2312" w:hAnsi="Times New Roman" w:cs="Times New Roman"/>
          <w:bCs/>
          <w:sz w:val="32"/>
          <w:szCs w:val="32"/>
        </w:rPr>
        <w:t>人身意外伤害保险、医疗健康保险等</w:t>
      </w:r>
      <w:r>
        <w:rPr>
          <w:rFonts w:ascii="Times New Roman" w:eastAsia="仿宋" w:hAnsi="Times New Roman" w:cs="Times New Roman"/>
          <w:bCs/>
          <w:sz w:val="32"/>
          <w:szCs w:val="32"/>
        </w:rPr>
        <w:t>投保基础方案如下：</w:t>
      </w:r>
    </w:p>
    <w:tbl>
      <w:tblPr>
        <w:tblW w:w="9798" w:type="dxa"/>
        <w:jc w:val="center"/>
        <w:tblLayout w:type="fixed"/>
        <w:tblLook w:val="04A0" w:firstRow="1" w:lastRow="0" w:firstColumn="1" w:lastColumn="0" w:noHBand="0" w:noVBand="1"/>
      </w:tblPr>
      <w:tblGrid>
        <w:gridCol w:w="821"/>
        <w:gridCol w:w="1464"/>
        <w:gridCol w:w="4262"/>
        <w:gridCol w:w="863"/>
        <w:gridCol w:w="825"/>
        <w:gridCol w:w="788"/>
        <w:gridCol w:w="775"/>
      </w:tblGrid>
      <w:tr w:rsidR="00E7170D" w14:paraId="1001CF87" w14:textId="77777777">
        <w:trPr>
          <w:trHeight w:val="285"/>
          <w:jc w:val="center"/>
        </w:trPr>
        <w:tc>
          <w:tcPr>
            <w:tcW w:w="82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03E73A0"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险类</w:t>
            </w:r>
          </w:p>
        </w:tc>
        <w:tc>
          <w:tcPr>
            <w:tcW w:w="1464" w:type="dxa"/>
            <w:tcBorders>
              <w:top w:val="single" w:sz="4" w:space="0" w:color="auto"/>
              <w:left w:val="nil"/>
              <w:bottom w:val="single" w:sz="4" w:space="0" w:color="auto"/>
              <w:right w:val="single" w:sz="4" w:space="0" w:color="auto"/>
            </w:tcBorders>
            <w:shd w:val="clear" w:color="000000" w:fill="auto"/>
            <w:noWrap/>
            <w:vAlign w:val="center"/>
          </w:tcPr>
          <w:p w14:paraId="36E695CB"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险种</w:t>
            </w:r>
          </w:p>
        </w:tc>
        <w:tc>
          <w:tcPr>
            <w:tcW w:w="4262" w:type="dxa"/>
            <w:tcBorders>
              <w:top w:val="single" w:sz="4" w:space="0" w:color="auto"/>
              <w:left w:val="nil"/>
              <w:bottom w:val="single" w:sz="4" w:space="0" w:color="auto"/>
              <w:right w:val="single" w:sz="4" w:space="0" w:color="auto"/>
            </w:tcBorders>
            <w:shd w:val="clear" w:color="000000" w:fill="auto"/>
            <w:noWrap/>
            <w:vAlign w:val="center"/>
          </w:tcPr>
          <w:p w14:paraId="470D7053"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保险责任</w:t>
            </w:r>
          </w:p>
        </w:tc>
        <w:tc>
          <w:tcPr>
            <w:tcW w:w="863" w:type="dxa"/>
            <w:tcBorders>
              <w:top w:val="single" w:sz="4" w:space="0" w:color="auto"/>
              <w:left w:val="nil"/>
              <w:bottom w:val="single" w:sz="4" w:space="0" w:color="auto"/>
              <w:right w:val="single" w:sz="4" w:space="0" w:color="auto"/>
            </w:tcBorders>
            <w:shd w:val="clear" w:color="000000" w:fill="auto"/>
            <w:noWrap/>
            <w:vAlign w:val="center"/>
          </w:tcPr>
          <w:p w14:paraId="699B0959"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方案一</w:t>
            </w:r>
          </w:p>
        </w:tc>
        <w:tc>
          <w:tcPr>
            <w:tcW w:w="825" w:type="dxa"/>
            <w:tcBorders>
              <w:top w:val="single" w:sz="4" w:space="0" w:color="auto"/>
              <w:left w:val="nil"/>
              <w:bottom w:val="single" w:sz="4" w:space="0" w:color="auto"/>
              <w:right w:val="single" w:sz="4" w:space="0" w:color="auto"/>
            </w:tcBorders>
            <w:shd w:val="clear" w:color="000000" w:fill="auto"/>
            <w:noWrap/>
            <w:vAlign w:val="center"/>
          </w:tcPr>
          <w:p w14:paraId="7BC29C6E"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方案二</w:t>
            </w:r>
          </w:p>
        </w:tc>
        <w:tc>
          <w:tcPr>
            <w:tcW w:w="788" w:type="dxa"/>
            <w:tcBorders>
              <w:top w:val="single" w:sz="4" w:space="0" w:color="auto"/>
              <w:left w:val="nil"/>
              <w:bottom w:val="single" w:sz="4" w:space="0" w:color="auto"/>
              <w:right w:val="nil"/>
            </w:tcBorders>
            <w:shd w:val="clear" w:color="000000" w:fill="auto"/>
            <w:noWrap/>
            <w:vAlign w:val="center"/>
          </w:tcPr>
          <w:p w14:paraId="73F826E3"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方案三</w:t>
            </w:r>
          </w:p>
        </w:tc>
        <w:tc>
          <w:tcPr>
            <w:tcW w:w="77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1F8C748" w14:textId="77777777" w:rsidR="00E7170D" w:rsidRDefault="00837DBC">
            <w:pPr>
              <w:spacing w:line="360" w:lineRule="exact"/>
              <w:jc w:val="center"/>
              <w:rPr>
                <w:rFonts w:ascii="Times New Roman" w:eastAsia="仿宋_GB2312" w:hAnsi="Times New Roman" w:cs="Times New Roman"/>
                <w:b/>
                <w:bCs/>
                <w:sz w:val="24"/>
              </w:rPr>
            </w:pPr>
            <w:r>
              <w:rPr>
                <w:rFonts w:ascii="Times New Roman" w:eastAsia="仿宋_GB2312" w:hAnsi="Times New Roman" w:cs="Times New Roman"/>
                <w:b/>
                <w:bCs/>
                <w:sz w:val="24"/>
              </w:rPr>
              <w:t>方案四</w:t>
            </w:r>
          </w:p>
        </w:tc>
      </w:tr>
      <w:tr w:rsidR="00E7170D" w14:paraId="20274EB6" w14:textId="77777777">
        <w:trPr>
          <w:trHeight w:val="1131"/>
          <w:jc w:val="center"/>
        </w:trPr>
        <w:tc>
          <w:tcPr>
            <w:tcW w:w="821" w:type="dxa"/>
            <w:vMerge w:val="restart"/>
            <w:tcBorders>
              <w:top w:val="nil"/>
              <w:left w:val="single" w:sz="4" w:space="0" w:color="auto"/>
              <w:right w:val="single" w:sz="4" w:space="0" w:color="auto"/>
            </w:tcBorders>
            <w:noWrap/>
            <w:vAlign w:val="center"/>
          </w:tcPr>
          <w:p w14:paraId="308334A0"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意外和健康险</w:t>
            </w:r>
          </w:p>
        </w:tc>
        <w:tc>
          <w:tcPr>
            <w:tcW w:w="1464" w:type="dxa"/>
            <w:tcBorders>
              <w:top w:val="nil"/>
              <w:left w:val="nil"/>
              <w:bottom w:val="single" w:sz="4" w:space="0" w:color="auto"/>
              <w:right w:val="single" w:sz="4" w:space="0" w:color="auto"/>
            </w:tcBorders>
            <w:vAlign w:val="center"/>
          </w:tcPr>
          <w:p w14:paraId="3486BC03"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团体意外险</w:t>
            </w:r>
          </w:p>
        </w:tc>
        <w:tc>
          <w:tcPr>
            <w:tcW w:w="4262" w:type="dxa"/>
            <w:tcBorders>
              <w:top w:val="nil"/>
              <w:left w:val="nil"/>
              <w:bottom w:val="single" w:sz="4" w:space="0" w:color="auto"/>
              <w:right w:val="single" w:sz="4" w:space="0" w:color="auto"/>
            </w:tcBorders>
            <w:vAlign w:val="center"/>
          </w:tcPr>
          <w:p w14:paraId="2FE7896C"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保安公司员工因遭受意外伤害而导致身故或伤残的，保险人依照给定给付身故保险金；伤残保险金。</w:t>
            </w:r>
          </w:p>
        </w:tc>
        <w:tc>
          <w:tcPr>
            <w:tcW w:w="863" w:type="dxa"/>
            <w:tcBorders>
              <w:top w:val="single" w:sz="4" w:space="0" w:color="auto"/>
              <w:left w:val="nil"/>
              <w:bottom w:val="single" w:sz="4" w:space="0" w:color="auto"/>
              <w:right w:val="single" w:sz="4" w:space="0" w:color="auto"/>
            </w:tcBorders>
            <w:vAlign w:val="center"/>
          </w:tcPr>
          <w:p w14:paraId="608FAEE7"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0335B661"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88" w:type="dxa"/>
            <w:tcBorders>
              <w:top w:val="single" w:sz="4" w:space="0" w:color="auto"/>
              <w:left w:val="single" w:sz="4" w:space="0" w:color="auto"/>
              <w:bottom w:val="single" w:sz="4" w:space="0" w:color="auto"/>
              <w:right w:val="single" w:sz="4" w:space="0" w:color="auto"/>
            </w:tcBorders>
            <w:vAlign w:val="center"/>
          </w:tcPr>
          <w:p w14:paraId="3EA24E47"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80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75" w:type="dxa"/>
            <w:tcBorders>
              <w:top w:val="single" w:sz="4" w:space="0" w:color="auto"/>
              <w:left w:val="single" w:sz="4" w:space="0" w:color="auto"/>
              <w:bottom w:val="single" w:sz="4" w:space="0" w:color="auto"/>
              <w:right w:val="single" w:sz="4" w:space="0" w:color="auto"/>
            </w:tcBorders>
            <w:vAlign w:val="center"/>
          </w:tcPr>
          <w:p w14:paraId="73A1C59F"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100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r>
      <w:tr w:rsidR="00E7170D" w14:paraId="393F2B66" w14:textId="77777777">
        <w:trPr>
          <w:trHeight w:val="1131"/>
          <w:jc w:val="center"/>
        </w:trPr>
        <w:tc>
          <w:tcPr>
            <w:tcW w:w="821" w:type="dxa"/>
            <w:vMerge/>
            <w:tcBorders>
              <w:left w:val="single" w:sz="4" w:space="0" w:color="auto"/>
              <w:right w:val="single" w:sz="4" w:space="0" w:color="auto"/>
            </w:tcBorders>
            <w:noWrap/>
            <w:vAlign w:val="center"/>
          </w:tcPr>
          <w:p w14:paraId="1F036FF7" w14:textId="77777777" w:rsidR="00E7170D" w:rsidRDefault="00E7170D">
            <w:pPr>
              <w:spacing w:line="360" w:lineRule="exact"/>
              <w:jc w:val="center"/>
              <w:rPr>
                <w:rFonts w:ascii="Times New Roman" w:eastAsia="仿宋_GB2312" w:hAnsi="Times New Roman" w:cs="Times New Roman"/>
                <w:sz w:val="24"/>
              </w:rPr>
            </w:pPr>
          </w:p>
        </w:tc>
        <w:tc>
          <w:tcPr>
            <w:tcW w:w="1464" w:type="dxa"/>
            <w:tcBorders>
              <w:top w:val="nil"/>
              <w:left w:val="nil"/>
              <w:bottom w:val="single" w:sz="4" w:space="0" w:color="auto"/>
              <w:right w:val="single" w:sz="4" w:space="0" w:color="auto"/>
            </w:tcBorders>
            <w:vAlign w:val="center"/>
          </w:tcPr>
          <w:p w14:paraId="61EB1405"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团体意外险附加意外医疗</w:t>
            </w:r>
          </w:p>
        </w:tc>
        <w:tc>
          <w:tcPr>
            <w:tcW w:w="4262" w:type="dxa"/>
            <w:tcBorders>
              <w:top w:val="nil"/>
              <w:left w:val="nil"/>
              <w:bottom w:val="single" w:sz="4" w:space="0" w:color="auto"/>
              <w:right w:val="single" w:sz="4" w:space="0" w:color="auto"/>
            </w:tcBorders>
            <w:vAlign w:val="center"/>
          </w:tcPr>
          <w:p w14:paraId="126BF3FD"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保安公司员工遭受意外伤害需要门急诊或住院治疗的医疗费用，保险公司给予赔付。</w:t>
            </w:r>
          </w:p>
        </w:tc>
        <w:tc>
          <w:tcPr>
            <w:tcW w:w="863" w:type="dxa"/>
            <w:tcBorders>
              <w:top w:val="single" w:sz="4" w:space="0" w:color="auto"/>
              <w:left w:val="nil"/>
              <w:bottom w:val="single" w:sz="4" w:space="0" w:color="auto"/>
              <w:right w:val="single" w:sz="4" w:space="0" w:color="auto"/>
            </w:tcBorders>
            <w:vAlign w:val="center"/>
          </w:tcPr>
          <w:p w14:paraId="527BE12A"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6</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7579E132"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88" w:type="dxa"/>
            <w:tcBorders>
              <w:top w:val="single" w:sz="4" w:space="0" w:color="auto"/>
              <w:left w:val="single" w:sz="4" w:space="0" w:color="auto"/>
              <w:bottom w:val="single" w:sz="4" w:space="0" w:color="auto"/>
              <w:right w:val="single" w:sz="4" w:space="0" w:color="auto"/>
            </w:tcBorders>
            <w:vAlign w:val="center"/>
          </w:tcPr>
          <w:p w14:paraId="5FC12C4E"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16</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75" w:type="dxa"/>
            <w:tcBorders>
              <w:top w:val="single" w:sz="4" w:space="0" w:color="auto"/>
              <w:left w:val="single" w:sz="4" w:space="0" w:color="auto"/>
              <w:bottom w:val="single" w:sz="4" w:space="0" w:color="auto"/>
              <w:right w:val="single" w:sz="4" w:space="0" w:color="000000"/>
            </w:tcBorders>
            <w:vAlign w:val="center"/>
          </w:tcPr>
          <w:p w14:paraId="10CD90F8"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r>
      <w:tr w:rsidR="00E7170D" w14:paraId="2B855707" w14:textId="77777777">
        <w:trPr>
          <w:trHeight w:val="1131"/>
          <w:jc w:val="center"/>
        </w:trPr>
        <w:tc>
          <w:tcPr>
            <w:tcW w:w="821" w:type="dxa"/>
            <w:vMerge/>
            <w:tcBorders>
              <w:left w:val="single" w:sz="4" w:space="0" w:color="auto"/>
              <w:bottom w:val="single" w:sz="4" w:space="0" w:color="auto"/>
              <w:right w:val="single" w:sz="4" w:space="0" w:color="auto"/>
            </w:tcBorders>
            <w:noWrap/>
            <w:vAlign w:val="center"/>
          </w:tcPr>
          <w:p w14:paraId="4770AF76" w14:textId="77777777" w:rsidR="00E7170D" w:rsidRDefault="00E7170D">
            <w:pPr>
              <w:spacing w:line="360" w:lineRule="exact"/>
              <w:jc w:val="center"/>
              <w:rPr>
                <w:rFonts w:ascii="Times New Roman" w:eastAsia="仿宋_GB2312" w:hAnsi="Times New Roman" w:cs="Times New Roman"/>
                <w:sz w:val="24"/>
              </w:rPr>
            </w:pPr>
          </w:p>
        </w:tc>
        <w:tc>
          <w:tcPr>
            <w:tcW w:w="1464" w:type="dxa"/>
            <w:tcBorders>
              <w:top w:val="nil"/>
              <w:left w:val="nil"/>
              <w:bottom w:val="single" w:sz="4" w:space="0" w:color="auto"/>
              <w:right w:val="single" w:sz="4" w:space="0" w:color="auto"/>
            </w:tcBorders>
            <w:vAlign w:val="center"/>
          </w:tcPr>
          <w:p w14:paraId="49081FAD"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团体意外险附加意外住院津贴</w:t>
            </w:r>
          </w:p>
        </w:tc>
        <w:tc>
          <w:tcPr>
            <w:tcW w:w="4262" w:type="dxa"/>
            <w:tcBorders>
              <w:top w:val="nil"/>
              <w:left w:val="nil"/>
              <w:bottom w:val="single" w:sz="4" w:space="0" w:color="auto"/>
              <w:right w:val="single" w:sz="4" w:space="0" w:color="auto"/>
            </w:tcBorders>
            <w:vAlign w:val="center"/>
          </w:tcPr>
          <w:p w14:paraId="57B41992"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保安公司员工因遭受意外导致住院医疗的合理住院天数，按约定每日赔偿金额给付住院津贴。</w:t>
            </w:r>
          </w:p>
        </w:tc>
        <w:tc>
          <w:tcPr>
            <w:tcW w:w="1688" w:type="dxa"/>
            <w:gridSpan w:val="2"/>
            <w:tcBorders>
              <w:top w:val="single" w:sz="4" w:space="0" w:color="auto"/>
              <w:left w:val="nil"/>
              <w:bottom w:val="single" w:sz="4" w:space="0" w:color="auto"/>
              <w:right w:val="single" w:sz="4" w:space="0" w:color="auto"/>
            </w:tcBorders>
            <w:vAlign w:val="center"/>
          </w:tcPr>
          <w:p w14:paraId="3345DB31"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100</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天</w:t>
            </w:r>
          </w:p>
        </w:tc>
        <w:tc>
          <w:tcPr>
            <w:tcW w:w="1563" w:type="dxa"/>
            <w:gridSpan w:val="2"/>
            <w:tcBorders>
              <w:top w:val="single" w:sz="4" w:space="0" w:color="auto"/>
              <w:left w:val="single" w:sz="4" w:space="0" w:color="auto"/>
              <w:bottom w:val="single" w:sz="4" w:space="0" w:color="auto"/>
              <w:right w:val="single" w:sz="4" w:space="0" w:color="000000"/>
            </w:tcBorders>
            <w:vAlign w:val="center"/>
          </w:tcPr>
          <w:p w14:paraId="19F6C8E2"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200</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天</w:t>
            </w:r>
          </w:p>
        </w:tc>
      </w:tr>
      <w:tr w:rsidR="00E7170D" w14:paraId="0515903A" w14:textId="77777777">
        <w:trPr>
          <w:trHeight w:val="1131"/>
          <w:jc w:val="center"/>
        </w:trPr>
        <w:tc>
          <w:tcPr>
            <w:tcW w:w="821" w:type="dxa"/>
            <w:vMerge/>
            <w:tcBorders>
              <w:top w:val="single" w:sz="4" w:space="0" w:color="auto"/>
              <w:left w:val="single" w:sz="4" w:space="0" w:color="auto"/>
              <w:bottom w:val="single" w:sz="4" w:space="0" w:color="auto"/>
              <w:right w:val="single" w:sz="4" w:space="0" w:color="auto"/>
            </w:tcBorders>
            <w:noWrap/>
            <w:vAlign w:val="center"/>
          </w:tcPr>
          <w:p w14:paraId="3568619D" w14:textId="77777777" w:rsidR="00E7170D" w:rsidRDefault="00E7170D">
            <w:pPr>
              <w:spacing w:line="360" w:lineRule="exact"/>
              <w:jc w:val="center"/>
              <w:rPr>
                <w:rFonts w:ascii="Times New Roman" w:eastAsia="仿宋_GB2312" w:hAnsi="Times New Roman" w:cs="Times New Roman"/>
                <w:sz w:val="24"/>
              </w:rPr>
            </w:pPr>
          </w:p>
        </w:tc>
        <w:tc>
          <w:tcPr>
            <w:tcW w:w="1464" w:type="dxa"/>
            <w:tcBorders>
              <w:top w:val="single" w:sz="4" w:space="0" w:color="auto"/>
              <w:left w:val="nil"/>
              <w:bottom w:val="single" w:sz="4" w:space="0" w:color="auto"/>
              <w:right w:val="single" w:sz="4" w:space="0" w:color="auto"/>
            </w:tcBorders>
            <w:vAlign w:val="center"/>
          </w:tcPr>
          <w:p w14:paraId="0075951D"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重大疾病</w:t>
            </w:r>
          </w:p>
        </w:tc>
        <w:tc>
          <w:tcPr>
            <w:tcW w:w="4262" w:type="dxa"/>
            <w:tcBorders>
              <w:top w:val="single" w:sz="4" w:space="0" w:color="auto"/>
              <w:left w:val="nil"/>
              <w:bottom w:val="single" w:sz="4" w:space="0" w:color="auto"/>
              <w:right w:val="single" w:sz="4" w:space="0" w:color="auto"/>
            </w:tcBorders>
            <w:vAlign w:val="center"/>
          </w:tcPr>
          <w:p w14:paraId="39E61B2E" w14:textId="77777777" w:rsidR="00E7170D" w:rsidRDefault="00837DBC">
            <w:pPr>
              <w:spacing w:line="360" w:lineRule="exact"/>
              <w:jc w:val="left"/>
              <w:rPr>
                <w:rFonts w:ascii="Times New Roman" w:eastAsia="仿宋_GB2312" w:hAnsi="Times New Roman" w:cs="Times New Roman"/>
                <w:sz w:val="24"/>
              </w:rPr>
            </w:pPr>
            <w:r>
              <w:rPr>
                <w:rFonts w:ascii="Times New Roman" w:eastAsia="仿宋_GB2312" w:hAnsi="Times New Roman" w:cs="Times New Roman"/>
                <w:sz w:val="24"/>
              </w:rPr>
              <w:t>保安公司员工经医疗诊断初次患合同约定重大疾病，保险人给付重大疾病保险金。</w:t>
            </w:r>
          </w:p>
        </w:tc>
        <w:tc>
          <w:tcPr>
            <w:tcW w:w="863" w:type="dxa"/>
            <w:tcBorders>
              <w:top w:val="single" w:sz="4" w:space="0" w:color="auto"/>
              <w:left w:val="nil"/>
              <w:bottom w:val="single" w:sz="4" w:space="0" w:color="auto"/>
              <w:right w:val="single" w:sz="4" w:space="0" w:color="auto"/>
            </w:tcBorders>
            <w:vAlign w:val="center"/>
          </w:tcPr>
          <w:p w14:paraId="4BAD7C8B"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20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825" w:type="dxa"/>
            <w:tcBorders>
              <w:top w:val="single" w:sz="4" w:space="0" w:color="auto"/>
              <w:left w:val="single" w:sz="4" w:space="0" w:color="auto"/>
              <w:bottom w:val="single" w:sz="4" w:space="0" w:color="auto"/>
              <w:right w:val="single" w:sz="4" w:space="0" w:color="auto"/>
            </w:tcBorders>
            <w:vAlign w:val="center"/>
          </w:tcPr>
          <w:p w14:paraId="598FB4B7"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30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88" w:type="dxa"/>
            <w:tcBorders>
              <w:top w:val="single" w:sz="4" w:space="0" w:color="auto"/>
              <w:left w:val="single" w:sz="4" w:space="0" w:color="auto"/>
              <w:bottom w:val="single" w:sz="4" w:space="0" w:color="auto"/>
              <w:right w:val="single" w:sz="4" w:space="0" w:color="auto"/>
            </w:tcBorders>
            <w:vAlign w:val="center"/>
          </w:tcPr>
          <w:p w14:paraId="7914B09C"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50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c>
          <w:tcPr>
            <w:tcW w:w="775" w:type="dxa"/>
            <w:tcBorders>
              <w:top w:val="single" w:sz="4" w:space="0" w:color="auto"/>
              <w:left w:val="single" w:sz="4" w:space="0" w:color="auto"/>
              <w:bottom w:val="single" w:sz="4" w:space="0" w:color="auto"/>
              <w:right w:val="single" w:sz="4" w:space="0" w:color="000000"/>
            </w:tcBorders>
            <w:vAlign w:val="center"/>
          </w:tcPr>
          <w:p w14:paraId="29C85299" w14:textId="77777777" w:rsidR="00E7170D" w:rsidRDefault="00837DBC">
            <w:pPr>
              <w:spacing w:line="360" w:lineRule="exact"/>
              <w:jc w:val="center"/>
              <w:rPr>
                <w:rFonts w:ascii="Times New Roman" w:eastAsia="仿宋_GB2312" w:hAnsi="Times New Roman" w:cs="Times New Roman"/>
                <w:sz w:val="24"/>
              </w:rPr>
            </w:pPr>
            <w:r>
              <w:rPr>
                <w:rFonts w:ascii="Times New Roman" w:eastAsia="仿宋_GB2312" w:hAnsi="Times New Roman" w:cs="Times New Roman"/>
                <w:sz w:val="24"/>
              </w:rPr>
              <w:t>100</w:t>
            </w:r>
            <w:r>
              <w:rPr>
                <w:rFonts w:ascii="Times New Roman" w:eastAsia="仿宋_GB2312" w:hAnsi="Times New Roman" w:cs="Times New Roman"/>
                <w:sz w:val="24"/>
              </w:rPr>
              <w:t>万</w:t>
            </w:r>
            <w:r>
              <w:rPr>
                <w:rFonts w:ascii="Times New Roman" w:eastAsia="仿宋_GB2312" w:hAnsi="Times New Roman" w:cs="Times New Roman"/>
                <w:sz w:val="24"/>
              </w:rPr>
              <w:t>元</w:t>
            </w:r>
            <w:r>
              <w:rPr>
                <w:rFonts w:ascii="Times New Roman" w:eastAsia="仿宋_GB2312" w:hAnsi="Times New Roman" w:cs="Times New Roman"/>
                <w:sz w:val="24"/>
              </w:rPr>
              <w:t>/</w:t>
            </w:r>
            <w:r>
              <w:rPr>
                <w:rFonts w:ascii="Times New Roman" w:eastAsia="仿宋_GB2312" w:hAnsi="Times New Roman" w:cs="Times New Roman"/>
                <w:sz w:val="24"/>
              </w:rPr>
              <w:t>人</w:t>
            </w:r>
          </w:p>
        </w:tc>
      </w:tr>
    </w:tbl>
    <w:p w14:paraId="274AAFFA" w14:textId="77777777" w:rsidR="00E7170D" w:rsidRDefault="00837DBC">
      <w:pPr>
        <w:spacing w:line="579" w:lineRule="exact"/>
        <w:ind w:firstLineChars="200" w:firstLine="643"/>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b/>
          <w:sz w:val="32"/>
          <w:szCs w:val="32"/>
        </w:rPr>
        <w:t>二</w:t>
      </w:r>
      <w:r>
        <w:rPr>
          <w:rFonts w:ascii="Times New Roman" w:eastAsia="楷体" w:hAnsi="Times New Roman" w:cs="Times New Roman"/>
          <w:b/>
          <w:sz w:val="32"/>
          <w:szCs w:val="32"/>
        </w:rPr>
        <w:t>）一流</w:t>
      </w:r>
      <w:r>
        <w:rPr>
          <w:rFonts w:ascii="Times New Roman" w:eastAsia="楷体" w:hAnsi="Times New Roman" w:cs="Times New Roman" w:hint="eastAsia"/>
          <w:b/>
          <w:sz w:val="32"/>
          <w:szCs w:val="32"/>
        </w:rPr>
        <w:t>的</w:t>
      </w:r>
      <w:r>
        <w:rPr>
          <w:rFonts w:ascii="Times New Roman" w:eastAsia="楷体" w:hAnsi="Times New Roman" w:cs="Times New Roman"/>
          <w:b/>
          <w:sz w:val="32"/>
          <w:szCs w:val="32"/>
        </w:rPr>
        <w:t>理赔服务</w:t>
      </w:r>
    </w:p>
    <w:p w14:paraId="774DD86B"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、优质高效的理赔服务</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各分公司</w:t>
      </w:r>
      <w:r>
        <w:rPr>
          <w:rFonts w:ascii="Times New Roman" w:eastAsia="仿宋_GB2312" w:hAnsi="Times New Roman" w:cs="Times New Roman" w:hint="eastAsia"/>
          <w:bCs/>
          <w:sz w:val="32"/>
          <w:szCs w:val="32"/>
        </w:rPr>
        <w:t>将</w:t>
      </w:r>
      <w:r>
        <w:rPr>
          <w:rFonts w:ascii="Times New Roman" w:eastAsia="仿宋_GB2312" w:hAnsi="Times New Roman" w:cs="Times New Roman"/>
          <w:bCs/>
          <w:sz w:val="32"/>
          <w:szCs w:val="32"/>
        </w:rPr>
        <w:t>在</w:t>
      </w:r>
      <w:r>
        <w:rPr>
          <w:rFonts w:ascii="Times New Roman" w:eastAsia="仿宋_GB2312" w:hAnsi="Times New Roman" w:cs="Times New Roman"/>
          <w:bCs/>
          <w:sz w:val="32"/>
          <w:szCs w:val="32"/>
        </w:rPr>
        <w:t>依法合规的前提下，不断提升理赔科技化水平，改善客户理赔服务体验。在理赔需求响应、查勘定损时效、赔款支付速度、提高结案率等方面提供优于全行业及我公司平均水平的优质服务，满足保安行业</w:t>
      </w:r>
      <w:r>
        <w:rPr>
          <w:rFonts w:ascii="Times New Roman" w:eastAsia="仿宋_GB2312" w:hAnsi="Times New Roman" w:cs="Times New Roman"/>
          <w:bCs/>
          <w:sz w:val="32"/>
          <w:szCs w:val="32"/>
        </w:rPr>
        <w:t>合理合法</w:t>
      </w:r>
      <w:r>
        <w:rPr>
          <w:rFonts w:ascii="Times New Roman" w:eastAsia="仿宋_GB2312" w:hAnsi="Times New Roman" w:cs="Times New Roman"/>
          <w:bCs/>
          <w:sz w:val="32"/>
          <w:szCs w:val="32"/>
        </w:rPr>
        <w:t>诉求，为保安行业的经营发展保驾护航。</w:t>
      </w:r>
    </w:p>
    <w:p w14:paraId="00746F78"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、人性化的理赔服务</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各分公司将结合当地</w:t>
      </w:r>
      <w:r>
        <w:rPr>
          <w:rFonts w:ascii="Times New Roman" w:eastAsia="仿宋_GB2312" w:hAnsi="Times New Roman" w:cs="Times New Roman"/>
          <w:bCs/>
          <w:sz w:val="32"/>
          <w:szCs w:val="32"/>
        </w:rPr>
        <w:lastRenderedPageBreak/>
        <w:t>实际情况提供一站式上门服务。在查勘、定损、调解、理赔环节实施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四上门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服务，优化服务流程，提升服务质量，切实协助</w:t>
      </w:r>
      <w:r>
        <w:rPr>
          <w:rFonts w:ascii="Times New Roman" w:eastAsia="仿宋_GB2312" w:hAnsi="Times New Roman" w:cs="Times New Roman"/>
          <w:bCs/>
          <w:sz w:val="32"/>
          <w:szCs w:val="32"/>
        </w:rPr>
        <w:t>保安</w:t>
      </w:r>
      <w:r>
        <w:rPr>
          <w:rFonts w:ascii="Times New Roman" w:eastAsia="仿宋_GB2312" w:hAnsi="Times New Roman" w:cs="Times New Roman"/>
          <w:bCs/>
          <w:sz w:val="32"/>
          <w:szCs w:val="32"/>
        </w:rPr>
        <w:t>行业减少后顾之忧。</w:t>
      </w:r>
    </w:p>
    <w:p w14:paraId="0DE505F8"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标准化的理赔服务</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将面向保安行业，建立理赔流程公示制度，建立标准化理赔服务流程。同时，在不影响事故性质和赔付金额的前提下，最大限度优化理赔流程和手续，保证理赔案件快速受理和赔款的快捷支付。</w:t>
      </w:r>
    </w:p>
    <w:p w14:paraId="2622B77D" w14:textId="77777777" w:rsidR="00E7170D" w:rsidRDefault="00837DBC">
      <w:pPr>
        <w:spacing w:line="579"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w:t>
      </w:r>
      <w:r>
        <w:rPr>
          <w:rFonts w:ascii="Times New Roman" w:eastAsia="黑体" w:hAnsi="Times New Roman" w:cs="Times New Roman" w:hint="eastAsia"/>
          <w:bCs/>
          <w:sz w:val="32"/>
          <w:szCs w:val="32"/>
        </w:rPr>
        <w:t>共同推动提升</w:t>
      </w:r>
      <w:r>
        <w:rPr>
          <w:rFonts w:ascii="Times New Roman" w:eastAsia="黑体" w:hAnsi="Times New Roman" w:cs="Times New Roman"/>
          <w:bCs/>
          <w:sz w:val="32"/>
          <w:szCs w:val="32"/>
        </w:rPr>
        <w:t>保安行业提高事故预防能力</w:t>
      </w:r>
    </w:p>
    <w:p w14:paraId="1CE604D3"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（一）</w:t>
      </w:r>
      <w:r>
        <w:rPr>
          <w:rFonts w:ascii="楷体" w:eastAsia="楷体" w:hAnsi="楷体" w:cs="楷体" w:hint="eastAsia"/>
          <w:bCs/>
          <w:sz w:val="32"/>
          <w:szCs w:val="32"/>
        </w:rPr>
        <w:t>打造与保安行业服务相关的</w:t>
      </w:r>
      <w:r>
        <w:rPr>
          <w:rFonts w:ascii="楷体" w:eastAsia="楷体" w:hAnsi="楷体" w:cs="楷体" w:hint="eastAsia"/>
          <w:bCs/>
          <w:sz w:val="32"/>
          <w:szCs w:val="32"/>
        </w:rPr>
        <w:t>风险管控</w:t>
      </w:r>
      <w:r>
        <w:rPr>
          <w:rFonts w:ascii="楷体" w:eastAsia="楷体" w:hAnsi="楷体" w:cs="楷体" w:hint="eastAsia"/>
          <w:bCs/>
          <w:sz w:val="32"/>
          <w:szCs w:val="32"/>
        </w:rPr>
        <w:t>培训体系。</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将着力打造主题丰富、高频次、多形式的培训体系，提高保安行业人员的专业知识和服务企业的能力、增强抗风险能力、规范行业经营，助力保安企业发展。组织保安协会</w:t>
      </w:r>
      <w:r>
        <w:rPr>
          <w:rFonts w:ascii="Times New Roman" w:eastAsia="仿宋_GB2312" w:hAnsi="Times New Roman" w:cs="Times New Roman" w:hint="eastAsia"/>
          <w:bCs/>
          <w:sz w:val="32"/>
          <w:szCs w:val="32"/>
        </w:rPr>
        <w:t>和保安企业负责人参加</w:t>
      </w:r>
      <w:r>
        <w:rPr>
          <w:rFonts w:ascii="Times New Roman" w:eastAsia="仿宋_GB2312" w:hAnsi="Times New Roman" w:cs="Times New Roman"/>
          <w:bCs/>
          <w:sz w:val="32"/>
          <w:szCs w:val="32"/>
        </w:rPr>
        <w:t>安全生产、安全管理和安全经验的考察交流；运用现代化多媒体手段以视频、音频及其他电子文档形式将掌握的于本项目风险管理有益的资料传送或网络实时宣导培训。</w:t>
      </w:r>
    </w:p>
    <w:p w14:paraId="3F53DCA5"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（二）</w:t>
      </w:r>
      <w:r>
        <w:rPr>
          <w:rFonts w:ascii="楷体" w:eastAsia="楷体" w:hAnsi="楷体" w:cs="楷体" w:hint="eastAsia"/>
          <w:bCs/>
          <w:sz w:val="32"/>
          <w:szCs w:val="32"/>
        </w:rPr>
        <w:t>开展保安行业安全生产事故隐患排查</w:t>
      </w:r>
      <w:r>
        <w:rPr>
          <w:rFonts w:ascii="楷体" w:eastAsia="楷体" w:hAnsi="楷体" w:cs="楷体" w:hint="eastAsia"/>
          <w:bCs/>
          <w:sz w:val="32"/>
          <w:szCs w:val="32"/>
        </w:rPr>
        <w:t>和整改</w:t>
      </w:r>
      <w:r>
        <w:rPr>
          <w:rFonts w:ascii="楷体" w:eastAsia="楷体" w:hAnsi="楷体" w:cs="楷体" w:hint="eastAsia"/>
          <w:bCs/>
          <w:sz w:val="32"/>
          <w:szCs w:val="32"/>
        </w:rPr>
        <w:t>。</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各分公司将在积极提供保险保障服务的基础上，会同当地保安协会共同开展全行业安全生产事故隐患排查，摸清保安行业风险管理现状，采取切实有效措</w:t>
      </w:r>
      <w:r>
        <w:rPr>
          <w:rFonts w:ascii="Times New Roman" w:eastAsia="仿宋_GB2312" w:hAnsi="Times New Roman" w:cs="Times New Roman"/>
          <w:bCs/>
          <w:sz w:val="32"/>
          <w:szCs w:val="32"/>
        </w:rPr>
        <w:t>施，协助各地保安协会完善安全生产保障机制建设，排除事故隐患，降低事故发生率，避免行业损失。</w:t>
      </w:r>
    </w:p>
    <w:p w14:paraId="0F447ACD"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（三）</w:t>
      </w:r>
      <w:r>
        <w:rPr>
          <w:rFonts w:ascii="楷体" w:eastAsia="楷体" w:hAnsi="楷体" w:cs="楷体" w:hint="eastAsia"/>
          <w:bCs/>
          <w:sz w:val="32"/>
          <w:szCs w:val="32"/>
        </w:rPr>
        <w:t>建立防灾减损档案，提升保安行业风险防控能力。</w:t>
      </w:r>
      <w:r>
        <w:rPr>
          <w:rFonts w:ascii="Times New Roman" w:eastAsia="仿宋_GB2312" w:hAnsi="Times New Roman" w:cs="Times New Roman" w:hint="eastAsia"/>
          <w:bCs/>
          <w:sz w:val="32"/>
          <w:szCs w:val="32"/>
        </w:rPr>
        <w:t>合</w:t>
      </w:r>
      <w:r>
        <w:rPr>
          <w:rFonts w:ascii="Times New Roman" w:eastAsia="仿宋_GB2312" w:hAnsi="Times New Roman" w:cs="Times New Roman" w:hint="eastAsia"/>
          <w:bCs/>
          <w:sz w:val="32"/>
          <w:szCs w:val="32"/>
        </w:rPr>
        <w:lastRenderedPageBreak/>
        <w:t>作保险公司</w:t>
      </w:r>
      <w:r>
        <w:rPr>
          <w:rFonts w:ascii="Times New Roman" w:eastAsia="仿宋_GB2312" w:hAnsi="Times New Roman" w:cs="Times New Roman"/>
          <w:bCs/>
          <w:sz w:val="32"/>
          <w:szCs w:val="32"/>
        </w:rPr>
        <w:t>各分公司围绕风险管理，主动提供灾害预警信息、治安风险排查、协助制定重大活动应急预案等服务</w:t>
      </w:r>
      <w:r>
        <w:rPr>
          <w:rFonts w:ascii="Times New Roman" w:eastAsia="仿宋_GB2312" w:hAnsi="Times New Roman" w:cs="Times New Roman" w:hint="eastAsia"/>
          <w:bCs/>
          <w:sz w:val="32"/>
          <w:szCs w:val="32"/>
        </w:rPr>
        <w:t>建立防灾减损档案</w:t>
      </w:r>
      <w:r>
        <w:rPr>
          <w:rFonts w:ascii="Times New Roman" w:eastAsia="仿宋_GB2312" w:hAnsi="Times New Roman" w:cs="Times New Roman"/>
          <w:bCs/>
          <w:sz w:val="32"/>
          <w:szCs w:val="32"/>
        </w:rPr>
        <w:t>。编制《风险管控服务手册》，</w:t>
      </w:r>
      <w:r>
        <w:rPr>
          <w:rFonts w:ascii="Times New Roman" w:eastAsia="仿宋_GB2312" w:hAnsi="Times New Roman" w:cs="Times New Roman" w:hint="eastAsia"/>
          <w:bCs/>
          <w:sz w:val="32"/>
          <w:szCs w:val="32"/>
        </w:rPr>
        <w:t>推荐优秀</w:t>
      </w:r>
      <w:r>
        <w:rPr>
          <w:rFonts w:ascii="Times New Roman" w:eastAsia="仿宋_GB2312" w:hAnsi="Times New Roman" w:cs="Times New Roman"/>
          <w:bCs/>
          <w:sz w:val="32"/>
          <w:szCs w:val="32"/>
        </w:rPr>
        <w:t>服务团队、风控专家团队；</w:t>
      </w:r>
      <w:r>
        <w:rPr>
          <w:rFonts w:ascii="Times New Roman" w:eastAsia="仿宋_GB2312" w:hAnsi="Times New Roman" w:cs="Times New Roman" w:hint="eastAsia"/>
          <w:bCs/>
          <w:sz w:val="32"/>
          <w:szCs w:val="32"/>
        </w:rPr>
        <w:t>介绍</w:t>
      </w:r>
      <w:r>
        <w:rPr>
          <w:rFonts w:ascii="Times New Roman" w:eastAsia="仿宋_GB2312" w:hAnsi="Times New Roman" w:cs="Times New Roman"/>
          <w:bCs/>
          <w:sz w:val="32"/>
          <w:szCs w:val="32"/>
        </w:rPr>
        <w:t>出险报案、施救措施、索赔流程等信息；提供各项防灾防损和风险管控服务方案及具体实施计划等。</w:t>
      </w:r>
    </w:p>
    <w:p w14:paraId="5127C5F7" w14:textId="77777777" w:rsidR="00E7170D" w:rsidRDefault="00837DBC">
      <w:pPr>
        <w:spacing w:line="579"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w:t>
      </w:r>
      <w:r>
        <w:rPr>
          <w:rFonts w:ascii="Times New Roman" w:eastAsia="黑体" w:hAnsi="Times New Roman" w:cs="Times New Roman" w:hint="eastAsia"/>
          <w:bCs/>
          <w:sz w:val="32"/>
          <w:szCs w:val="32"/>
        </w:rPr>
        <w:t>提供优质增值服务</w:t>
      </w:r>
      <w:r>
        <w:rPr>
          <w:rFonts w:ascii="Times New Roman" w:eastAsia="黑体" w:hAnsi="Times New Roman" w:cs="Times New Roman"/>
          <w:bCs/>
          <w:sz w:val="32"/>
          <w:szCs w:val="32"/>
        </w:rPr>
        <w:t>，助推保安行业高质量发展</w:t>
      </w:r>
    </w:p>
    <w:p w14:paraId="7DE2771C"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（一）</w:t>
      </w:r>
      <w:r>
        <w:rPr>
          <w:rFonts w:ascii="楷体" w:eastAsia="楷体" w:hAnsi="楷体" w:cs="楷体" w:hint="eastAsia"/>
          <w:bCs/>
          <w:sz w:val="32"/>
          <w:szCs w:val="32"/>
        </w:rPr>
        <w:t>开展</w:t>
      </w:r>
      <w:r>
        <w:rPr>
          <w:rFonts w:ascii="楷体" w:eastAsia="楷体" w:hAnsi="楷体" w:cs="楷体" w:hint="eastAsia"/>
          <w:bCs/>
          <w:sz w:val="32"/>
          <w:szCs w:val="32"/>
        </w:rPr>
        <w:t>投融资</w:t>
      </w:r>
      <w:r>
        <w:rPr>
          <w:rFonts w:ascii="楷体" w:eastAsia="楷体" w:hAnsi="楷体" w:cs="楷体" w:hint="eastAsia"/>
          <w:bCs/>
          <w:sz w:val="32"/>
          <w:szCs w:val="32"/>
        </w:rPr>
        <w:t>服务，积极探索保安行业投资路径与模式。</w:t>
      </w:r>
      <w:r>
        <w:rPr>
          <w:rFonts w:ascii="Times New Roman" w:eastAsia="仿宋_GB2312" w:hAnsi="Times New Roman" w:cs="Times New Roman"/>
          <w:bCs/>
          <w:sz w:val="32"/>
          <w:szCs w:val="32"/>
        </w:rPr>
        <w:t>在符合监管政策的前提下，</w:t>
      </w:r>
      <w:r>
        <w:rPr>
          <w:rFonts w:ascii="Times New Roman" w:eastAsia="仿宋_GB2312" w:hAnsi="Times New Roman" w:cs="Times New Roman" w:hint="eastAsia"/>
          <w:bCs/>
          <w:sz w:val="32"/>
          <w:szCs w:val="32"/>
        </w:rPr>
        <w:t>合作保险公司及所属相关企业将</w:t>
      </w:r>
      <w:r>
        <w:rPr>
          <w:rFonts w:ascii="Times New Roman" w:eastAsia="仿宋_GB2312" w:hAnsi="Times New Roman" w:cs="Times New Roman"/>
          <w:bCs/>
          <w:sz w:val="32"/>
          <w:szCs w:val="32"/>
        </w:rPr>
        <w:t>根据保安</w:t>
      </w:r>
      <w:r>
        <w:rPr>
          <w:rFonts w:ascii="Times New Roman" w:eastAsia="仿宋_GB2312" w:hAnsi="Times New Roman" w:cs="Times New Roman" w:hint="eastAsia"/>
          <w:bCs/>
          <w:sz w:val="32"/>
          <w:szCs w:val="32"/>
        </w:rPr>
        <w:t>企业</w:t>
      </w:r>
      <w:r>
        <w:rPr>
          <w:rFonts w:ascii="Times New Roman" w:eastAsia="仿宋_GB2312" w:hAnsi="Times New Roman" w:cs="Times New Roman"/>
          <w:bCs/>
          <w:sz w:val="32"/>
          <w:szCs w:val="32"/>
        </w:rPr>
        <w:t>发展需求，</w:t>
      </w:r>
      <w:r>
        <w:rPr>
          <w:rFonts w:ascii="Times New Roman" w:eastAsia="仿宋_GB2312" w:hAnsi="Times New Roman" w:cs="Times New Roman"/>
          <w:bCs/>
          <w:sz w:val="32"/>
          <w:szCs w:val="32"/>
        </w:rPr>
        <w:t>充分运用战略合作、股权投资等方式</w:t>
      </w:r>
      <w:r>
        <w:rPr>
          <w:rFonts w:ascii="Times New Roman" w:eastAsia="仿宋_GB2312" w:hAnsi="Times New Roman" w:cs="Times New Roman"/>
          <w:bCs/>
          <w:sz w:val="32"/>
          <w:szCs w:val="32"/>
        </w:rPr>
        <w:t>积极探索对保安行业的投资路径，</w:t>
      </w:r>
      <w:r>
        <w:rPr>
          <w:rFonts w:ascii="Times New Roman" w:eastAsia="仿宋_GB2312" w:hAnsi="Times New Roman" w:cs="Times New Roman"/>
          <w:bCs/>
          <w:sz w:val="32"/>
          <w:szCs w:val="32"/>
        </w:rPr>
        <w:t>推进保安服务产业链整合，</w:t>
      </w:r>
      <w:r>
        <w:rPr>
          <w:rFonts w:ascii="Times New Roman" w:eastAsia="仿宋_GB2312" w:hAnsi="Times New Roman" w:cs="Times New Roman"/>
          <w:bCs/>
          <w:sz w:val="32"/>
          <w:szCs w:val="32"/>
        </w:rPr>
        <w:t>创新保安行业发展模式。</w:t>
      </w:r>
    </w:p>
    <w:p w14:paraId="740059F7"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（二）</w:t>
      </w:r>
      <w:r>
        <w:rPr>
          <w:rFonts w:ascii="楷体" w:eastAsia="楷体" w:hAnsi="楷体" w:cs="楷体" w:hint="eastAsia"/>
          <w:bCs/>
          <w:sz w:val="32"/>
          <w:szCs w:val="32"/>
        </w:rPr>
        <w:t>提供银行业全方位金融服务。</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各分公司</w:t>
      </w:r>
      <w:r>
        <w:rPr>
          <w:rFonts w:ascii="Times New Roman" w:eastAsia="仿宋_GB2312" w:hAnsi="Times New Roman" w:cs="Times New Roman" w:hint="eastAsia"/>
          <w:bCs/>
          <w:sz w:val="32"/>
          <w:szCs w:val="32"/>
        </w:rPr>
        <w:t>将</w:t>
      </w:r>
      <w:r>
        <w:rPr>
          <w:rFonts w:ascii="Times New Roman" w:eastAsia="仿宋_GB2312" w:hAnsi="Times New Roman" w:cs="Times New Roman"/>
          <w:bCs/>
          <w:sz w:val="32"/>
          <w:szCs w:val="32"/>
        </w:rPr>
        <w:t>会同广发银行</w:t>
      </w:r>
      <w:r>
        <w:rPr>
          <w:rFonts w:ascii="Times New Roman" w:eastAsia="仿宋_GB2312" w:hAnsi="Times New Roman" w:cs="Times New Roman" w:hint="eastAsia"/>
          <w:bCs/>
          <w:sz w:val="32"/>
          <w:szCs w:val="32"/>
        </w:rPr>
        <w:t>为有需求的保安从业单位</w:t>
      </w:r>
      <w:r>
        <w:rPr>
          <w:rFonts w:ascii="Times New Roman" w:eastAsia="仿宋_GB2312" w:hAnsi="Times New Roman" w:cs="Times New Roman"/>
          <w:bCs/>
          <w:sz w:val="32"/>
          <w:szCs w:val="32"/>
        </w:rPr>
        <w:t>提供结构性存款、理财服务</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对公电子渠道代发服务</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跨行转账、融资服务</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代发工资</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智慧随心</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服务等全方位金融服务。</w:t>
      </w:r>
    </w:p>
    <w:p w14:paraId="4C884F0B" w14:textId="77777777" w:rsidR="00E7170D" w:rsidRDefault="00837DBC">
      <w:pPr>
        <w:spacing w:line="579" w:lineRule="exact"/>
        <w:ind w:firstLineChars="200" w:firstLine="640"/>
        <w:rPr>
          <w:rFonts w:ascii="Times New Roman" w:eastAsia="仿宋_GB2312" w:hAnsi="Times New Roman" w:cs="Times New Roman"/>
          <w:bCs/>
          <w:sz w:val="32"/>
          <w:szCs w:val="32"/>
        </w:rPr>
      </w:pPr>
      <w:r>
        <w:rPr>
          <w:rFonts w:ascii="楷体" w:eastAsia="楷体" w:hAnsi="楷体" w:cs="楷体" w:hint="eastAsia"/>
          <w:bCs/>
          <w:sz w:val="32"/>
          <w:szCs w:val="32"/>
        </w:rPr>
        <w:t>（三）</w:t>
      </w:r>
      <w:r>
        <w:rPr>
          <w:rFonts w:ascii="楷体" w:eastAsia="楷体" w:hAnsi="楷体" w:cs="楷体" w:hint="eastAsia"/>
          <w:bCs/>
          <w:sz w:val="32"/>
          <w:szCs w:val="32"/>
        </w:rPr>
        <w:t>提供多领域增值服务。</w:t>
      </w:r>
      <w:r>
        <w:rPr>
          <w:rFonts w:ascii="Times New Roman" w:eastAsia="仿宋_GB2312" w:hAnsi="Times New Roman" w:cs="Times New Roman" w:hint="eastAsia"/>
          <w:bCs/>
          <w:sz w:val="32"/>
          <w:szCs w:val="32"/>
        </w:rPr>
        <w:t>合作保险公司</w:t>
      </w:r>
      <w:r>
        <w:rPr>
          <w:rFonts w:ascii="Times New Roman" w:eastAsia="仿宋_GB2312" w:hAnsi="Times New Roman" w:cs="Times New Roman"/>
          <w:bCs/>
          <w:sz w:val="32"/>
          <w:szCs w:val="32"/>
        </w:rPr>
        <w:t>将为保安行业提供多方位增值服务，包括但不限于道路救援、法律咨询、医护教育、</w:t>
      </w:r>
      <w:r>
        <w:rPr>
          <w:rFonts w:ascii="Times New Roman" w:eastAsia="仿宋_GB2312" w:hAnsi="Times New Roman" w:cs="Times New Roman" w:hint="eastAsia"/>
          <w:bCs/>
          <w:sz w:val="32"/>
          <w:szCs w:val="32"/>
        </w:rPr>
        <w:t>困难救助、</w:t>
      </w:r>
      <w:r>
        <w:rPr>
          <w:rFonts w:ascii="Times New Roman" w:eastAsia="仿宋_GB2312" w:hAnsi="Times New Roman" w:cs="Times New Roman"/>
          <w:bCs/>
          <w:sz w:val="32"/>
          <w:szCs w:val="32"/>
        </w:rPr>
        <w:t>风险防控等方面。</w:t>
      </w:r>
    </w:p>
    <w:sectPr w:rsidR="00E7170D">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6B45" w14:textId="77777777" w:rsidR="00837DBC" w:rsidRDefault="00837DBC">
      <w:r>
        <w:separator/>
      </w:r>
    </w:p>
  </w:endnote>
  <w:endnote w:type="continuationSeparator" w:id="0">
    <w:p w14:paraId="145E41DC" w14:textId="77777777" w:rsidR="00837DBC" w:rsidRDefault="008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206B" w14:textId="77777777" w:rsidR="00E7170D" w:rsidRDefault="00837DBC">
    <w:pPr>
      <w:pStyle w:val="a4"/>
    </w:pPr>
    <w:r>
      <w:rPr>
        <w:noProof/>
      </w:rPr>
      <mc:AlternateContent>
        <mc:Choice Requires="wps">
          <w:drawing>
            <wp:anchor distT="0" distB="0" distL="114300" distR="114300" simplePos="0" relativeHeight="251659264" behindDoc="0" locked="0" layoutInCell="1" allowOverlap="1" wp14:anchorId="6FF12FD2" wp14:editId="12C47B9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C6CDF1" w14:textId="77777777" w:rsidR="00E7170D" w:rsidRDefault="00837DB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F12FD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6C6CDF1" w14:textId="77777777" w:rsidR="00E7170D" w:rsidRDefault="00837DB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8302" w14:textId="77777777" w:rsidR="00837DBC" w:rsidRDefault="00837DBC">
      <w:r>
        <w:separator/>
      </w:r>
    </w:p>
  </w:footnote>
  <w:footnote w:type="continuationSeparator" w:id="0">
    <w:p w14:paraId="5F6EBD1B" w14:textId="77777777" w:rsidR="00837DBC" w:rsidRDefault="0083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9BC2C"/>
    <w:multiLevelType w:val="singleLevel"/>
    <w:tmpl w:val="AFF9BC2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9D"/>
    <w:rsid w:val="00124A02"/>
    <w:rsid w:val="001356FC"/>
    <w:rsid w:val="001675F3"/>
    <w:rsid w:val="002D15DF"/>
    <w:rsid w:val="00327314"/>
    <w:rsid w:val="00343A15"/>
    <w:rsid w:val="00345AC7"/>
    <w:rsid w:val="00357392"/>
    <w:rsid w:val="0047414B"/>
    <w:rsid w:val="004C26DE"/>
    <w:rsid w:val="004C72D0"/>
    <w:rsid w:val="005920F1"/>
    <w:rsid w:val="005E28E3"/>
    <w:rsid w:val="005F06F5"/>
    <w:rsid w:val="005F17C7"/>
    <w:rsid w:val="00602AF3"/>
    <w:rsid w:val="00681453"/>
    <w:rsid w:val="006D10F2"/>
    <w:rsid w:val="006E7817"/>
    <w:rsid w:val="00716D1E"/>
    <w:rsid w:val="007302D2"/>
    <w:rsid w:val="007519BC"/>
    <w:rsid w:val="008345F9"/>
    <w:rsid w:val="00837DBC"/>
    <w:rsid w:val="00861169"/>
    <w:rsid w:val="008B25B7"/>
    <w:rsid w:val="008D1390"/>
    <w:rsid w:val="0092273C"/>
    <w:rsid w:val="00957B41"/>
    <w:rsid w:val="009B489D"/>
    <w:rsid w:val="009D0C9E"/>
    <w:rsid w:val="009F000B"/>
    <w:rsid w:val="00A91BF4"/>
    <w:rsid w:val="00AF69B6"/>
    <w:rsid w:val="00B02BD0"/>
    <w:rsid w:val="00B4699A"/>
    <w:rsid w:val="00C24BC5"/>
    <w:rsid w:val="00C660E0"/>
    <w:rsid w:val="00CE0E68"/>
    <w:rsid w:val="00D1139B"/>
    <w:rsid w:val="00D56ED9"/>
    <w:rsid w:val="00D571B9"/>
    <w:rsid w:val="00DA328D"/>
    <w:rsid w:val="00DA46B2"/>
    <w:rsid w:val="00DB7CC1"/>
    <w:rsid w:val="00DE1FB1"/>
    <w:rsid w:val="00E05FF5"/>
    <w:rsid w:val="00E32094"/>
    <w:rsid w:val="00E4520A"/>
    <w:rsid w:val="00E7170D"/>
    <w:rsid w:val="00F151E8"/>
    <w:rsid w:val="00F16F33"/>
    <w:rsid w:val="00F27D91"/>
    <w:rsid w:val="00F36D8C"/>
    <w:rsid w:val="00F60BC4"/>
    <w:rsid w:val="00FC10B6"/>
    <w:rsid w:val="01224933"/>
    <w:rsid w:val="013257E9"/>
    <w:rsid w:val="014C2377"/>
    <w:rsid w:val="01651D04"/>
    <w:rsid w:val="01AB1D83"/>
    <w:rsid w:val="01ED4FC8"/>
    <w:rsid w:val="01FA3EBE"/>
    <w:rsid w:val="021764CA"/>
    <w:rsid w:val="021D2EE9"/>
    <w:rsid w:val="021D64B3"/>
    <w:rsid w:val="02553EDA"/>
    <w:rsid w:val="02586254"/>
    <w:rsid w:val="02630BC8"/>
    <w:rsid w:val="029E6E35"/>
    <w:rsid w:val="02C656B4"/>
    <w:rsid w:val="02CF5E84"/>
    <w:rsid w:val="02EA5226"/>
    <w:rsid w:val="02F66765"/>
    <w:rsid w:val="03096854"/>
    <w:rsid w:val="031205AE"/>
    <w:rsid w:val="03203BBD"/>
    <w:rsid w:val="0328666B"/>
    <w:rsid w:val="03387CB5"/>
    <w:rsid w:val="033C291B"/>
    <w:rsid w:val="03572B8B"/>
    <w:rsid w:val="037427ED"/>
    <w:rsid w:val="03782B3C"/>
    <w:rsid w:val="03867E08"/>
    <w:rsid w:val="038A4324"/>
    <w:rsid w:val="03A82454"/>
    <w:rsid w:val="03B57594"/>
    <w:rsid w:val="03BE5375"/>
    <w:rsid w:val="03C21C6E"/>
    <w:rsid w:val="03DC1A55"/>
    <w:rsid w:val="03EC46A8"/>
    <w:rsid w:val="03FA5B30"/>
    <w:rsid w:val="04120317"/>
    <w:rsid w:val="041A48AC"/>
    <w:rsid w:val="0428380E"/>
    <w:rsid w:val="04425491"/>
    <w:rsid w:val="045F2596"/>
    <w:rsid w:val="048201AA"/>
    <w:rsid w:val="048F4488"/>
    <w:rsid w:val="049C2F58"/>
    <w:rsid w:val="04A913E0"/>
    <w:rsid w:val="04CC6DD5"/>
    <w:rsid w:val="04CE55D4"/>
    <w:rsid w:val="052E556F"/>
    <w:rsid w:val="05412264"/>
    <w:rsid w:val="05550DE1"/>
    <w:rsid w:val="055F39C4"/>
    <w:rsid w:val="056722D8"/>
    <w:rsid w:val="056B137F"/>
    <w:rsid w:val="057F1C9F"/>
    <w:rsid w:val="05845273"/>
    <w:rsid w:val="059A69DF"/>
    <w:rsid w:val="05A76B24"/>
    <w:rsid w:val="05B33ED6"/>
    <w:rsid w:val="05D10EF4"/>
    <w:rsid w:val="05DB0A58"/>
    <w:rsid w:val="05FD067D"/>
    <w:rsid w:val="06186853"/>
    <w:rsid w:val="0625098D"/>
    <w:rsid w:val="062871A4"/>
    <w:rsid w:val="06492708"/>
    <w:rsid w:val="064A1956"/>
    <w:rsid w:val="065A4E75"/>
    <w:rsid w:val="06750C2A"/>
    <w:rsid w:val="067A2B51"/>
    <w:rsid w:val="068609CB"/>
    <w:rsid w:val="06A16669"/>
    <w:rsid w:val="06A17BED"/>
    <w:rsid w:val="06BA5E17"/>
    <w:rsid w:val="06E02DB2"/>
    <w:rsid w:val="06F50468"/>
    <w:rsid w:val="070E4F79"/>
    <w:rsid w:val="07124932"/>
    <w:rsid w:val="072B4E30"/>
    <w:rsid w:val="07393330"/>
    <w:rsid w:val="07467861"/>
    <w:rsid w:val="0747722F"/>
    <w:rsid w:val="07575809"/>
    <w:rsid w:val="076240DE"/>
    <w:rsid w:val="076433B7"/>
    <w:rsid w:val="0765384C"/>
    <w:rsid w:val="076A20B1"/>
    <w:rsid w:val="076F028C"/>
    <w:rsid w:val="077565F0"/>
    <w:rsid w:val="077A397B"/>
    <w:rsid w:val="077D15D2"/>
    <w:rsid w:val="078E4E4B"/>
    <w:rsid w:val="07A3580E"/>
    <w:rsid w:val="07AE4605"/>
    <w:rsid w:val="07CC78BA"/>
    <w:rsid w:val="07D71125"/>
    <w:rsid w:val="07D777C9"/>
    <w:rsid w:val="07F836F4"/>
    <w:rsid w:val="08004B16"/>
    <w:rsid w:val="08010508"/>
    <w:rsid w:val="08042EE8"/>
    <w:rsid w:val="08140A1B"/>
    <w:rsid w:val="082344C7"/>
    <w:rsid w:val="082A15D3"/>
    <w:rsid w:val="0839597D"/>
    <w:rsid w:val="084366CD"/>
    <w:rsid w:val="084B6F1A"/>
    <w:rsid w:val="085777CD"/>
    <w:rsid w:val="08690400"/>
    <w:rsid w:val="08D67881"/>
    <w:rsid w:val="08E75967"/>
    <w:rsid w:val="09120DD6"/>
    <w:rsid w:val="0917781C"/>
    <w:rsid w:val="095C3994"/>
    <w:rsid w:val="09842B87"/>
    <w:rsid w:val="098A64DD"/>
    <w:rsid w:val="09C702E5"/>
    <w:rsid w:val="09C94FB7"/>
    <w:rsid w:val="09D9310C"/>
    <w:rsid w:val="09E041ED"/>
    <w:rsid w:val="09EA78ED"/>
    <w:rsid w:val="09FF32FF"/>
    <w:rsid w:val="0A0902EC"/>
    <w:rsid w:val="0A372174"/>
    <w:rsid w:val="0A5D4818"/>
    <w:rsid w:val="0A6320EB"/>
    <w:rsid w:val="0A6A308B"/>
    <w:rsid w:val="0A88019D"/>
    <w:rsid w:val="0AA8093E"/>
    <w:rsid w:val="0AB56C6B"/>
    <w:rsid w:val="0AB57B39"/>
    <w:rsid w:val="0ACF37CE"/>
    <w:rsid w:val="0AD3284E"/>
    <w:rsid w:val="0AF228AD"/>
    <w:rsid w:val="0B280C75"/>
    <w:rsid w:val="0B366509"/>
    <w:rsid w:val="0B6438A7"/>
    <w:rsid w:val="0B7E425F"/>
    <w:rsid w:val="0B803373"/>
    <w:rsid w:val="0B8963E7"/>
    <w:rsid w:val="0B912710"/>
    <w:rsid w:val="0C16084C"/>
    <w:rsid w:val="0C295761"/>
    <w:rsid w:val="0C29619F"/>
    <w:rsid w:val="0C2A6CD3"/>
    <w:rsid w:val="0C2E7BF0"/>
    <w:rsid w:val="0C3602F7"/>
    <w:rsid w:val="0C404484"/>
    <w:rsid w:val="0C481641"/>
    <w:rsid w:val="0C4A1B21"/>
    <w:rsid w:val="0C4F042F"/>
    <w:rsid w:val="0C5B7306"/>
    <w:rsid w:val="0C6E6876"/>
    <w:rsid w:val="0C8F2BE8"/>
    <w:rsid w:val="0C9A6457"/>
    <w:rsid w:val="0CA30C9A"/>
    <w:rsid w:val="0CBC4EA2"/>
    <w:rsid w:val="0CCC5078"/>
    <w:rsid w:val="0CCF5B3A"/>
    <w:rsid w:val="0CDC62EC"/>
    <w:rsid w:val="0CDD1BAD"/>
    <w:rsid w:val="0CE77210"/>
    <w:rsid w:val="0D1E0D16"/>
    <w:rsid w:val="0D1E1FAE"/>
    <w:rsid w:val="0D3765ED"/>
    <w:rsid w:val="0D4F1C5B"/>
    <w:rsid w:val="0D521CCB"/>
    <w:rsid w:val="0D8D6FDE"/>
    <w:rsid w:val="0DA33711"/>
    <w:rsid w:val="0DD35B09"/>
    <w:rsid w:val="0DDB6BB7"/>
    <w:rsid w:val="0DF50222"/>
    <w:rsid w:val="0E075E3C"/>
    <w:rsid w:val="0E104430"/>
    <w:rsid w:val="0E147328"/>
    <w:rsid w:val="0E251D71"/>
    <w:rsid w:val="0E470DB5"/>
    <w:rsid w:val="0E5379DD"/>
    <w:rsid w:val="0E7B0330"/>
    <w:rsid w:val="0E7E3501"/>
    <w:rsid w:val="0E8678E2"/>
    <w:rsid w:val="0EA077F7"/>
    <w:rsid w:val="0EA37CA2"/>
    <w:rsid w:val="0EAB1E85"/>
    <w:rsid w:val="0EB64EC9"/>
    <w:rsid w:val="0EE9577B"/>
    <w:rsid w:val="0EEC27B4"/>
    <w:rsid w:val="0EF1159B"/>
    <w:rsid w:val="0F1C4365"/>
    <w:rsid w:val="0F236AF2"/>
    <w:rsid w:val="0F2F43D4"/>
    <w:rsid w:val="0F563F52"/>
    <w:rsid w:val="0F7433E8"/>
    <w:rsid w:val="0F8030C7"/>
    <w:rsid w:val="0F817BFB"/>
    <w:rsid w:val="0FA04598"/>
    <w:rsid w:val="0FAA760D"/>
    <w:rsid w:val="0FAD4C10"/>
    <w:rsid w:val="0FE37EFA"/>
    <w:rsid w:val="0FFD4B24"/>
    <w:rsid w:val="101F107E"/>
    <w:rsid w:val="10264AA1"/>
    <w:rsid w:val="103048C5"/>
    <w:rsid w:val="103335DC"/>
    <w:rsid w:val="105A08D9"/>
    <w:rsid w:val="10622D53"/>
    <w:rsid w:val="108B7CAB"/>
    <w:rsid w:val="109E3676"/>
    <w:rsid w:val="10AD6C4B"/>
    <w:rsid w:val="10C97A74"/>
    <w:rsid w:val="10CA7111"/>
    <w:rsid w:val="111440DF"/>
    <w:rsid w:val="115370B0"/>
    <w:rsid w:val="11AC42F1"/>
    <w:rsid w:val="11B06578"/>
    <w:rsid w:val="11F34F24"/>
    <w:rsid w:val="12136D44"/>
    <w:rsid w:val="121F3DCC"/>
    <w:rsid w:val="122A147C"/>
    <w:rsid w:val="12546DD1"/>
    <w:rsid w:val="12601F6E"/>
    <w:rsid w:val="12630FBC"/>
    <w:rsid w:val="12972B50"/>
    <w:rsid w:val="12981C3A"/>
    <w:rsid w:val="129B5787"/>
    <w:rsid w:val="12B2453B"/>
    <w:rsid w:val="12BF645E"/>
    <w:rsid w:val="12E11C23"/>
    <w:rsid w:val="12E31AA1"/>
    <w:rsid w:val="12F92C9F"/>
    <w:rsid w:val="12FE26E4"/>
    <w:rsid w:val="130244EA"/>
    <w:rsid w:val="131A23DE"/>
    <w:rsid w:val="132A7275"/>
    <w:rsid w:val="132F46E7"/>
    <w:rsid w:val="1371070A"/>
    <w:rsid w:val="138D7392"/>
    <w:rsid w:val="139E4148"/>
    <w:rsid w:val="13A12AAD"/>
    <w:rsid w:val="13C00A94"/>
    <w:rsid w:val="13D607BE"/>
    <w:rsid w:val="13F12454"/>
    <w:rsid w:val="14055AF1"/>
    <w:rsid w:val="14216BDF"/>
    <w:rsid w:val="142F4BA5"/>
    <w:rsid w:val="1443556B"/>
    <w:rsid w:val="14446A4A"/>
    <w:rsid w:val="145810DA"/>
    <w:rsid w:val="14694DAE"/>
    <w:rsid w:val="14831F84"/>
    <w:rsid w:val="14B25C34"/>
    <w:rsid w:val="14CF5777"/>
    <w:rsid w:val="14D25953"/>
    <w:rsid w:val="14D44563"/>
    <w:rsid w:val="14EA107F"/>
    <w:rsid w:val="14EA7BCF"/>
    <w:rsid w:val="15020E9E"/>
    <w:rsid w:val="150413EE"/>
    <w:rsid w:val="154635E7"/>
    <w:rsid w:val="154B1AC0"/>
    <w:rsid w:val="156B1430"/>
    <w:rsid w:val="15BA6D7D"/>
    <w:rsid w:val="15C43D78"/>
    <w:rsid w:val="15CF01AE"/>
    <w:rsid w:val="15D0190C"/>
    <w:rsid w:val="15E02F98"/>
    <w:rsid w:val="15E8484D"/>
    <w:rsid w:val="15EE0A4A"/>
    <w:rsid w:val="15F57F22"/>
    <w:rsid w:val="15F73F9F"/>
    <w:rsid w:val="16066A0B"/>
    <w:rsid w:val="16374577"/>
    <w:rsid w:val="163E6835"/>
    <w:rsid w:val="164A4C03"/>
    <w:rsid w:val="16887F09"/>
    <w:rsid w:val="16B53238"/>
    <w:rsid w:val="16B62225"/>
    <w:rsid w:val="16BA7BD4"/>
    <w:rsid w:val="16DC78E1"/>
    <w:rsid w:val="16E834DD"/>
    <w:rsid w:val="16FC0122"/>
    <w:rsid w:val="1705599F"/>
    <w:rsid w:val="170B1CEE"/>
    <w:rsid w:val="171A48DC"/>
    <w:rsid w:val="17412272"/>
    <w:rsid w:val="17432A10"/>
    <w:rsid w:val="174C51DC"/>
    <w:rsid w:val="176909D9"/>
    <w:rsid w:val="178E6A8D"/>
    <w:rsid w:val="17CB6636"/>
    <w:rsid w:val="17E13241"/>
    <w:rsid w:val="17E35170"/>
    <w:rsid w:val="17E734C1"/>
    <w:rsid w:val="18105CC6"/>
    <w:rsid w:val="18333CE6"/>
    <w:rsid w:val="187A6206"/>
    <w:rsid w:val="1890191A"/>
    <w:rsid w:val="189C2651"/>
    <w:rsid w:val="189F64A3"/>
    <w:rsid w:val="18AF2A48"/>
    <w:rsid w:val="18C509AF"/>
    <w:rsid w:val="18CD0F2B"/>
    <w:rsid w:val="18D24C49"/>
    <w:rsid w:val="18D47188"/>
    <w:rsid w:val="18D745E1"/>
    <w:rsid w:val="18EF34C5"/>
    <w:rsid w:val="18F33767"/>
    <w:rsid w:val="192F20D2"/>
    <w:rsid w:val="1936639D"/>
    <w:rsid w:val="19397573"/>
    <w:rsid w:val="1947390A"/>
    <w:rsid w:val="195938D2"/>
    <w:rsid w:val="19732081"/>
    <w:rsid w:val="19785E43"/>
    <w:rsid w:val="197B6146"/>
    <w:rsid w:val="19B35D62"/>
    <w:rsid w:val="19CB1FF6"/>
    <w:rsid w:val="19F75FFE"/>
    <w:rsid w:val="19FF4C80"/>
    <w:rsid w:val="1A492E19"/>
    <w:rsid w:val="1A57017A"/>
    <w:rsid w:val="1A5F087C"/>
    <w:rsid w:val="1A7B0A61"/>
    <w:rsid w:val="1ABB0563"/>
    <w:rsid w:val="1AC1128F"/>
    <w:rsid w:val="1AEA3F09"/>
    <w:rsid w:val="1AEE715A"/>
    <w:rsid w:val="1B034333"/>
    <w:rsid w:val="1B0F3DC7"/>
    <w:rsid w:val="1B41503E"/>
    <w:rsid w:val="1B43279F"/>
    <w:rsid w:val="1B446F98"/>
    <w:rsid w:val="1B451489"/>
    <w:rsid w:val="1B4E693D"/>
    <w:rsid w:val="1B7E3E53"/>
    <w:rsid w:val="1B8B4E91"/>
    <w:rsid w:val="1BA8615F"/>
    <w:rsid w:val="1BBD7272"/>
    <w:rsid w:val="1BC95308"/>
    <w:rsid w:val="1BDD2C0C"/>
    <w:rsid w:val="1BEC6BD9"/>
    <w:rsid w:val="1BF14BA4"/>
    <w:rsid w:val="1C23679C"/>
    <w:rsid w:val="1C3A066F"/>
    <w:rsid w:val="1C3E5966"/>
    <w:rsid w:val="1C414142"/>
    <w:rsid w:val="1C520CB2"/>
    <w:rsid w:val="1C67143F"/>
    <w:rsid w:val="1C681F3A"/>
    <w:rsid w:val="1C714FEF"/>
    <w:rsid w:val="1C737872"/>
    <w:rsid w:val="1C7A308D"/>
    <w:rsid w:val="1C7F22AF"/>
    <w:rsid w:val="1CAA5A22"/>
    <w:rsid w:val="1CB47903"/>
    <w:rsid w:val="1CD04E56"/>
    <w:rsid w:val="1CE20E06"/>
    <w:rsid w:val="1CE533E9"/>
    <w:rsid w:val="1CEF0DC5"/>
    <w:rsid w:val="1CF21BB7"/>
    <w:rsid w:val="1CFD0E5F"/>
    <w:rsid w:val="1D0B18CF"/>
    <w:rsid w:val="1D2E14D0"/>
    <w:rsid w:val="1D39257D"/>
    <w:rsid w:val="1D6F46D9"/>
    <w:rsid w:val="1D7650C5"/>
    <w:rsid w:val="1D7705AF"/>
    <w:rsid w:val="1D8D3F74"/>
    <w:rsid w:val="1D933609"/>
    <w:rsid w:val="1DA06FB6"/>
    <w:rsid w:val="1DAB022E"/>
    <w:rsid w:val="1DB357DC"/>
    <w:rsid w:val="1DBE5037"/>
    <w:rsid w:val="1DCC0495"/>
    <w:rsid w:val="1DD91D56"/>
    <w:rsid w:val="1DFB3B29"/>
    <w:rsid w:val="1E084A2E"/>
    <w:rsid w:val="1E0A1FEA"/>
    <w:rsid w:val="1E153B80"/>
    <w:rsid w:val="1E301260"/>
    <w:rsid w:val="1E402CE1"/>
    <w:rsid w:val="1E495BE0"/>
    <w:rsid w:val="1E532A9E"/>
    <w:rsid w:val="1E6B08E0"/>
    <w:rsid w:val="1E903E27"/>
    <w:rsid w:val="1E9D1574"/>
    <w:rsid w:val="1EB97880"/>
    <w:rsid w:val="1EC169E5"/>
    <w:rsid w:val="1EDD79EF"/>
    <w:rsid w:val="1EEE29A8"/>
    <w:rsid w:val="1EF26BF2"/>
    <w:rsid w:val="1F227516"/>
    <w:rsid w:val="1F287148"/>
    <w:rsid w:val="1F7156A0"/>
    <w:rsid w:val="1F737EBF"/>
    <w:rsid w:val="1F8A647E"/>
    <w:rsid w:val="1F9521D8"/>
    <w:rsid w:val="1FA66C03"/>
    <w:rsid w:val="1FB65BFA"/>
    <w:rsid w:val="1FC23838"/>
    <w:rsid w:val="1FCC6F17"/>
    <w:rsid w:val="1FED2D11"/>
    <w:rsid w:val="20070476"/>
    <w:rsid w:val="200F58DC"/>
    <w:rsid w:val="201F695E"/>
    <w:rsid w:val="202C7B0F"/>
    <w:rsid w:val="204C7F8F"/>
    <w:rsid w:val="205B5159"/>
    <w:rsid w:val="205B7FDE"/>
    <w:rsid w:val="20607E23"/>
    <w:rsid w:val="206C4B81"/>
    <w:rsid w:val="207112DC"/>
    <w:rsid w:val="2083053F"/>
    <w:rsid w:val="20994ADA"/>
    <w:rsid w:val="20A512C5"/>
    <w:rsid w:val="20A60F36"/>
    <w:rsid w:val="20B84634"/>
    <w:rsid w:val="20C40B23"/>
    <w:rsid w:val="20E014EE"/>
    <w:rsid w:val="20FB1F05"/>
    <w:rsid w:val="21285F27"/>
    <w:rsid w:val="213A10D3"/>
    <w:rsid w:val="21454B29"/>
    <w:rsid w:val="214E6483"/>
    <w:rsid w:val="21526A65"/>
    <w:rsid w:val="216010E5"/>
    <w:rsid w:val="21820FFD"/>
    <w:rsid w:val="21844FBE"/>
    <w:rsid w:val="21A36A27"/>
    <w:rsid w:val="21A54286"/>
    <w:rsid w:val="21AF51EB"/>
    <w:rsid w:val="21BF619A"/>
    <w:rsid w:val="21CC1EBF"/>
    <w:rsid w:val="22046EA0"/>
    <w:rsid w:val="22072627"/>
    <w:rsid w:val="22112AAB"/>
    <w:rsid w:val="221F2CDD"/>
    <w:rsid w:val="22201F30"/>
    <w:rsid w:val="22312F41"/>
    <w:rsid w:val="224D3D0A"/>
    <w:rsid w:val="22575F16"/>
    <w:rsid w:val="22686C07"/>
    <w:rsid w:val="22844729"/>
    <w:rsid w:val="22963E6F"/>
    <w:rsid w:val="229B5CAE"/>
    <w:rsid w:val="22A80043"/>
    <w:rsid w:val="22B411B8"/>
    <w:rsid w:val="22C32331"/>
    <w:rsid w:val="22C54DFE"/>
    <w:rsid w:val="22CC505A"/>
    <w:rsid w:val="22D35D15"/>
    <w:rsid w:val="22EB1EBB"/>
    <w:rsid w:val="231B641C"/>
    <w:rsid w:val="232D2B4E"/>
    <w:rsid w:val="23473797"/>
    <w:rsid w:val="234A7D4B"/>
    <w:rsid w:val="23785689"/>
    <w:rsid w:val="238876FA"/>
    <w:rsid w:val="23894230"/>
    <w:rsid w:val="238F19BD"/>
    <w:rsid w:val="23956DD4"/>
    <w:rsid w:val="23BC1EFD"/>
    <w:rsid w:val="23D00A96"/>
    <w:rsid w:val="23D01EF0"/>
    <w:rsid w:val="23E95147"/>
    <w:rsid w:val="24001D57"/>
    <w:rsid w:val="24190B0F"/>
    <w:rsid w:val="242F58E0"/>
    <w:rsid w:val="243B1FB1"/>
    <w:rsid w:val="24594A8A"/>
    <w:rsid w:val="245E10F3"/>
    <w:rsid w:val="24BD2896"/>
    <w:rsid w:val="24BD638A"/>
    <w:rsid w:val="24C25506"/>
    <w:rsid w:val="24E83145"/>
    <w:rsid w:val="251611AE"/>
    <w:rsid w:val="25291E15"/>
    <w:rsid w:val="252B7033"/>
    <w:rsid w:val="25332497"/>
    <w:rsid w:val="25384C21"/>
    <w:rsid w:val="253B4895"/>
    <w:rsid w:val="25624890"/>
    <w:rsid w:val="2566005C"/>
    <w:rsid w:val="2577735A"/>
    <w:rsid w:val="259655FE"/>
    <w:rsid w:val="25B337C8"/>
    <w:rsid w:val="260A41ED"/>
    <w:rsid w:val="26143FB9"/>
    <w:rsid w:val="26337C7A"/>
    <w:rsid w:val="26445302"/>
    <w:rsid w:val="264D75BD"/>
    <w:rsid w:val="265F5B07"/>
    <w:rsid w:val="26603C5F"/>
    <w:rsid w:val="26627BB5"/>
    <w:rsid w:val="26654B64"/>
    <w:rsid w:val="26843744"/>
    <w:rsid w:val="268A3D98"/>
    <w:rsid w:val="26BC6453"/>
    <w:rsid w:val="26C64400"/>
    <w:rsid w:val="26E04F56"/>
    <w:rsid w:val="26EB0CD7"/>
    <w:rsid w:val="26EE57C7"/>
    <w:rsid w:val="270C1D3F"/>
    <w:rsid w:val="27192076"/>
    <w:rsid w:val="27243665"/>
    <w:rsid w:val="27341A00"/>
    <w:rsid w:val="27367987"/>
    <w:rsid w:val="273B5DD1"/>
    <w:rsid w:val="27634DB7"/>
    <w:rsid w:val="276F182E"/>
    <w:rsid w:val="27784887"/>
    <w:rsid w:val="27A4622B"/>
    <w:rsid w:val="27AB1303"/>
    <w:rsid w:val="27BF1B09"/>
    <w:rsid w:val="27CF6407"/>
    <w:rsid w:val="27F35844"/>
    <w:rsid w:val="27FF1D80"/>
    <w:rsid w:val="280C5680"/>
    <w:rsid w:val="28241E91"/>
    <w:rsid w:val="284807C5"/>
    <w:rsid w:val="285E05A1"/>
    <w:rsid w:val="287105D9"/>
    <w:rsid w:val="287F6283"/>
    <w:rsid w:val="28A55EE1"/>
    <w:rsid w:val="28A86AF8"/>
    <w:rsid w:val="28A93427"/>
    <w:rsid w:val="28BD4E39"/>
    <w:rsid w:val="28C665E9"/>
    <w:rsid w:val="28CB31ED"/>
    <w:rsid w:val="28DF11E3"/>
    <w:rsid w:val="28E84BE1"/>
    <w:rsid w:val="28EB793C"/>
    <w:rsid w:val="28F71D02"/>
    <w:rsid w:val="28F808C3"/>
    <w:rsid w:val="29120E08"/>
    <w:rsid w:val="29204AAA"/>
    <w:rsid w:val="29243057"/>
    <w:rsid w:val="294A6230"/>
    <w:rsid w:val="29565E47"/>
    <w:rsid w:val="295C5F68"/>
    <w:rsid w:val="296A012E"/>
    <w:rsid w:val="296E1D4B"/>
    <w:rsid w:val="298A207A"/>
    <w:rsid w:val="298C5880"/>
    <w:rsid w:val="299459F2"/>
    <w:rsid w:val="29AA4103"/>
    <w:rsid w:val="29B20C06"/>
    <w:rsid w:val="29BA72F4"/>
    <w:rsid w:val="29D76D12"/>
    <w:rsid w:val="29E23A9A"/>
    <w:rsid w:val="29F62356"/>
    <w:rsid w:val="2A0860CD"/>
    <w:rsid w:val="2A1841F0"/>
    <w:rsid w:val="2A187CCC"/>
    <w:rsid w:val="2A1F1428"/>
    <w:rsid w:val="2A273BA5"/>
    <w:rsid w:val="2A3772E9"/>
    <w:rsid w:val="2A414263"/>
    <w:rsid w:val="2A415293"/>
    <w:rsid w:val="2A4173FB"/>
    <w:rsid w:val="2A4C5F80"/>
    <w:rsid w:val="2A5C5140"/>
    <w:rsid w:val="2A8D6BE6"/>
    <w:rsid w:val="2A931C7B"/>
    <w:rsid w:val="2AA862F6"/>
    <w:rsid w:val="2AA961FB"/>
    <w:rsid w:val="2AB90D2F"/>
    <w:rsid w:val="2B0078D8"/>
    <w:rsid w:val="2B251334"/>
    <w:rsid w:val="2B3A09A7"/>
    <w:rsid w:val="2B5D738B"/>
    <w:rsid w:val="2B713276"/>
    <w:rsid w:val="2BAB6331"/>
    <w:rsid w:val="2BB2130E"/>
    <w:rsid w:val="2BC10C61"/>
    <w:rsid w:val="2BDB522B"/>
    <w:rsid w:val="2BEA20CB"/>
    <w:rsid w:val="2BEC5B1A"/>
    <w:rsid w:val="2BEE2704"/>
    <w:rsid w:val="2BFA23D7"/>
    <w:rsid w:val="2C123127"/>
    <w:rsid w:val="2C2865C2"/>
    <w:rsid w:val="2C426A17"/>
    <w:rsid w:val="2C5A3A31"/>
    <w:rsid w:val="2C756772"/>
    <w:rsid w:val="2CAE2FFC"/>
    <w:rsid w:val="2CDB6BD1"/>
    <w:rsid w:val="2CF04B74"/>
    <w:rsid w:val="2D035213"/>
    <w:rsid w:val="2D101E5F"/>
    <w:rsid w:val="2D161887"/>
    <w:rsid w:val="2D17699D"/>
    <w:rsid w:val="2D277397"/>
    <w:rsid w:val="2D2B714C"/>
    <w:rsid w:val="2D491641"/>
    <w:rsid w:val="2D4D5DD9"/>
    <w:rsid w:val="2D6621D9"/>
    <w:rsid w:val="2D6D75F6"/>
    <w:rsid w:val="2DA34298"/>
    <w:rsid w:val="2DAA2051"/>
    <w:rsid w:val="2DC246B4"/>
    <w:rsid w:val="2DC54259"/>
    <w:rsid w:val="2DFC5907"/>
    <w:rsid w:val="2E1C4D9F"/>
    <w:rsid w:val="2E1D3373"/>
    <w:rsid w:val="2E2332D7"/>
    <w:rsid w:val="2E287B09"/>
    <w:rsid w:val="2E3B27DF"/>
    <w:rsid w:val="2E4B337C"/>
    <w:rsid w:val="2E4E5C28"/>
    <w:rsid w:val="2E5225C5"/>
    <w:rsid w:val="2E782BB0"/>
    <w:rsid w:val="2E9A4F87"/>
    <w:rsid w:val="2EA03964"/>
    <w:rsid w:val="2EB71132"/>
    <w:rsid w:val="2ED73001"/>
    <w:rsid w:val="2EF42931"/>
    <w:rsid w:val="2F012D53"/>
    <w:rsid w:val="2F0A2590"/>
    <w:rsid w:val="2F2C2E2F"/>
    <w:rsid w:val="2F5E5FE3"/>
    <w:rsid w:val="2F663D9C"/>
    <w:rsid w:val="2F816809"/>
    <w:rsid w:val="2F93271C"/>
    <w:rsid w:val="2F9C7B65"/>
    <w:rsid w:val="2FB672E0"/>
    <w:rsid w:val="2FF03B3D"/>
    <w:rsid w:val="2FF72EA5"/>
    <w:rsid w:val="30170F9F"/>
    <w:rsid w:val="3026423E"/>
    <w:rsid w:val="303B3ADA"/>
    <w:rsid w:val="304642CB"/>
    <w:rsid w:val="30596E26"/>
    <w:rsid w:val="306454B5"/>
    <w:rsid w:val="30706893"/>
    <w:rsid w:val="30846F73"/>
    <w:rsid w:val="30947C00"/>
    <w:rsid w:val="30DE6DD7"/>
    <w:rsid w:val="30E05BB9"/>
    <w:rsid w:val="30FB1990"/>
    <w:rsid w:val="31017075"/>
    <w:rsid w:val="310B71BB"/>
    <w:rsid w:val="31133D6A"/>
    <w:rsid w:val="3128305D"/>
    <w:rsid w:val="312C5170"/>
    <w:rsid w:val="314043A7"/>
    <w:rsid w:val="31465FC8"/>
    <w:rsid w:val="3150657C"/>
    <w:rsid w:val="315B7E64"/>
    <w:rsid w:val="318062FB"/>
    <w:rsid w:val="31AB0135"/>
    <w:rsid w:val="31BE02E4"/>
    <w:rsid w:val="31BF22DE"/>
    <w:rsid w:val="31BF792D"/>
    <w:rsid w:val="31C677A6"/>
    <w:rsid w:val="31E23978"/>
    <w:rsid w:val="31F2794A"/>
    <w:rsid w:val="31F30D31"/>
    <w:rsid w:val="31FF4001"/>
    <w:rsid w:val="322C7512"/>
    <w:rsid w:val="32484788"/>
    <w:rsid w:val="324F5A48"/>
    <w:rsid w:val="3267704B"/>
    <w:rsid w:val="32782540"/>
    <w:rsid w:val="327E073F"/>
    <w:rsid w:val="328E6422"/>
    <w:rsid w:val="32932D0F"/>
    <w:rsid w:val="329603A9"/>
    <w:rsid w:val="329D112E"/>
    <w:rsid w:val="32A0456C"/>
    <w:rsid w:val="32A907C3"/>
    <w:rsid w:val="32E44FF7"/>
    <w:rsid w:val="32E82B6B"/>
    <w:rsid w:val="32F44F1B"/>
    <w:rsid w:val="330010BF"/>
    <w:rsid w:val="33322377"/>
    <w:rsid w:val="333E3A09"/>
    <w:rsid w:val="336C5075"/>
    <w:rsid w:val="338038B7"/>
    <w:rsid w:val="339C44E6"/>
    <w:rsid w:val="33A3443B"/>
    <w:rsid w:val="33BD5885"/>
    <w:rsid w:val="33CA1703"/>
    <w:rsid w:val="33D03CBF"/>
    <w:rsid w:val="33D11EFE"/>
    <w:rsid w:val="33FF6414"/>
    <w:rsid w:val="34001119"/>
    <w:rsid w:val="34036813"/>
    <w:rsid w:val="341545CC"/>
    <w:rsid w:val="341C1C16"/>
    <w:rsid w:val="3427016F"/>
    <w:rsid w:val="343345D3"/>
    <w:rsid w:val="34696B40"/>
    <w:rsid w:val="346C4566"/>
    <w:rsid w:val="348C1F58"/>
    <w:rsid w:val="34940FDF"/>
    <w:rsid w:val="349B02B5"/>
    <w:rsid w:val="349F1390"/>
    <w:rsid w:val="34B45135"/>
    <w:rsid w:val="34C459BB"/>
    <w:rsid w:val="34C81A1E"/>
    <w:rsid w:val="350078CB"/>
    <w:rsid w:val="356551BB"/>
    <w:rsid w:val="35656284"/>
    <w:rsid w:val="35D41C8D"/>
    <w:rsid w:val="35E83759"/>
    <w:rsid w:val="35F17703"/>
    <w:rsid w:val="35F878A3"/>
    <w:rsid w:val="36187E95"/>
    <w:rsid w:val="361A0939"/>
    <w:rsid w:val="361B687F"/>
    <w:rsid w:val="365456B1"/>
    <w:rsid w:val="36561E8F"/>
    <w:rsid w:val="369A5965"/>
    <w:rsid w:val="36B32630"/>
    <w:rsid w:val="36B85E60"/>
    <w:rsid w:val="36C951EC"/>
    <w:rsid w:val="36CE5E55"/>
    <w:rsid w:val="36D62370"/>
    <w:rsid w:val="36E105DF"/>
    <w:rsid w:val="36E54679"/>
    <w:rsid w:val="36E8110B"/>
    <w:rsid w:val="36F132FF"/>
    <w:rsid w:val="36F87EE8"/>
    <w:rsid w:val="36FE36F4"/>
    <w:rsid w:val="370955C7"/>
    <w:rsid w:val="370C335B"/>
    <w:rsid w:val="370F723B"/>
    <w:rsid w:val="37163DA1"/>
    <w:rsid w:val="37406B13"/>
    <w:rsid w:val="37417457"/>
    <w:rsid w:val="3754278B"/>
    <w:rsid w:val="376A2B79"/>
    <w:rsid w:val="37BE7580"/>
    <w:rsid w:val="37D14983"/>
    <w:rsid w:val="37D20196"/>
    <w:rsid w:val="37E25049"/>
    <w:rsid w:val="37E7703E"/>
    <w:rsid w:val="37EF25C0"/>
    <w:rsid w:val="37F624C1"/>
    <w:rsid w:val="3803153B"/>
    <w:rsid w:val="380B3984"/>
    <w:rsid w:val="38487FED"/>
    <w:rsid w:val="384F5C4D"/>
    <w:rsid w:val="386D1A3B"/>
    <w:rsid w:val="387B002E"/>
    <w:rsid w:val="387E18A9"/>
    <w:rsid w:val="387F140A"/>
    <w:rsid w:val="38932BF9"/>
    <w:rsid w:val="38B95C66"/>
    <w:rsid w:val="38D03F6D"/>
    <w:rsid w:val="38F06BE0"/>
    <w:rsid w:val="39005FB3"/>
    <w:rsid w:val="392A114C"/>
    <w:rsid w:val="39341785"/>
    <w:rsid w:val="3937775F"/>
    <w:rsid w:val="393D2BEA"/>
    <w:rsid w:val="393E635E"/>
    <w:rsid w:val="39401DC9"/>
    <w:rsid w:val="39705FBA"/>
    <w:rsid w:val="39864BFA"/>
    <w:rsid w:val="39B0234E"/>
    <w:rsid w:val="39B1243E"/>
    <w:rsid w:val="39D01385"/>
    <w:rsid w:val="39E819DE"/>
    <w:rsid w:val="3A1C4C7F"/>
    <w:rsid w:val="3A2B6EFA"/>
    <w:rsid w:val="3A36457E"/>
    <w:rsid w:val="3A403455"/>
    <w:rsid w:val="3A4F021D"/>
    <w:rsid w:val="3A7D7CED"/>
    <w:rsid w:val="3A8C66BD"/>
    <w:rsid w:val="3AA9395A"/>
    <w:rsid w:val="3AE00F78"/>
    <w:rsid w:val="3AED2020"/>
    <w:rsid w:val="3B330415"/>
    <w:rsid w:val="3B3A6710"/>
    <w:rsid w:val="3B434571"/>
    <w:rsid w:val="3B44100D"/>
    <w:rsid w:val="3B616160"/>
    <w:rsid w:val="3B6F77A6"/>
    <w:rsid w:val="3B890C00"/>
    <w:rsid w:val="3BA6774B"/>
    <w:rsid w:val="3BB97955"/>
    <w:rsid w:val="3BBC52AC"/>
    <w:rsid w:val="3BC07439"/>
    <w:rsid w:val="3BC86BFB"/>
    <w:rsid w:val="3BDC307B"/>
    <w:rsid w:val="3BF62433"/>
    <w:rsid w:val="3BF74ED6"/>
    <w:rsid w:val="3C04799F"/>
    <w:rsid w:val="3C0D25AC"/>
    <w:rsid w:val="3C232A29"/>
    <w:rsid w:val="3C645358"/>
    <w:rsid w:val="3C7003E6"/>
    <w:rsid w:val="3C7F5645"/>
    <w:rsid w:val="3CB56679"/>
    <w:rsid w:val="3CD80DCA"/>
    <w:rsid w:val="3CE84C9C"/>
    <w:rsid w:val="3CF20AEC"/>
    <w:rsid w:val="3D0515E7"/>
    <w:rsid w:val="3D0D2CFB"/>
    <w:rsid w:val="3D0E3D65"/>
    <w:rsid w:val="3D196ABA"/>
    <w:rsid w:val="3D6C5B1A"/>
    <w:rsid w:val="3D903106"/>
    <w:rsid w:val="3DE14003"/>
    <w:rsid w:val="3DFF0FE7"/>
    <w:rsid w:val="3E1628B9"/>
    <w:rsid w:val="3E1E3CAB"/>
    <w:rsid w:val="3E1F238E"/>
    <w:rsid w:val="3E3E5FE8"/>
    <w:rsid w:val="3E4333ED"/>
    <w:rsid w:val="3E4C7FBE"/>
    <w:rsid w:val="3E4E07C3"/>
    <w:rsid w:val="3E573601"/>
    <w:rsid w:val="3E58120E"/>
    <w:rsid w:val="3E6C2F54"/>
    <w:rsid w:val="3E73466A"/>
    <w:rsid w:val="3E8B1962"/>
    <w:rsid w:val="3E9C1499"/>
    <w:rsid w:val="3EA10693"/>
    <w:rsid w:val="3EA448C1"/>
    <w:rsid w:val="3ECB6FE0"/>
    <w:rsid w:val="3ED254DC"/>
    <w:rsid w:val="3ED90175"/>
    <w:rsid w:val="3EDA5E6A"/>
    <w:rsid w:val="3EDD4501"/>
    <w:rsid w:val="3EE35295"/>
    <w:rsid w:val="3F1762CB"/>
    <w:rsid w:val="3F1A6B48"/>
    <w:rsid w:val="3F1B58DF"/>
    <w:rsid w:val="3F1F5CF0"/>
    <w:rsid w:val="3F2059CD"/>
    <w:rsid w:val="3F2D282E"/>
    <w:rsid w:val="3F33543D"/>
    <w:rsid w:val="3F423D7D"/>
    <w:rsid w:val="3F5314BD"/>
    <w:rsid w:val="3F551567"/>
    <w:rsid w:val="3FE847B6"/>
    <w:rsid w:val="400D416B"/>
    <w:rsid w:val="40435D13"/>
    <w:rsid w:val="40514B95"/>
    <w:rsid w:val="406D402C"/>
    <w:rsid w:val="40803E14"/>
    <w:rsid w:val="40880264"/>
    <w:rsid w:val="40951D6D"/>
    <w:rsid w:val="409916A0"/>
    <w:rsid w:val="40A4189B"/>
    <w:rsid w:val="40AC3BC2"/>
    <w:rsid w:val="40AF63E9"/>
    <w:rsid w:val="40BB384A"/>
    <w:rsid w:val="40BE4346"/>
    <w:rsid w:val="40C93DD4"/>
    <w:rsid w:val="40C94245"/>
    <w:rsid w:val="40FD263F"/>
    <w:rsid w:val="415B6C19"/>
    <w:rsid w:val="41624B1C"/>
    <w:rsid w:val="416B55EB"/>
    <w:rsid w:val="416D64CE"/>
    <w:rsid w:val="41740396"/>
    <w:rsid w:val="41936E16"/>
    <w:rsid w:val="41B702BC"/>
    <w:rsid w:val="41BD69CC"/>
    <w:rsid w:val="41D235F2"/>
    <w:rsid w:val="41EC51DB"/>
    <w:rsid w:val="41FF6CAC"/>
    <w:rsid w:val="42067CCF"/>
    <w:rsid w:val="42191CB2"/>
    <w:rsid w:val="42401887"/>
    <w:rsid w:val="424A0D73"/>
    <w:rsid w:val="42537240"/>
    <w:rsid w:val="42554F1A"/>
    <w:rsid w:val="428A5877"/>
    <w:rsid w:val="42993599"/>
    <w:rsid w:val="429B4F88"/>
    <w:rsid w:val="42A30F14"/>
    <w:rsid w:val="42A47BA9"/>
    <w:rsid w:val="42AD2BFB"/>
    <w:rsid w:val="42C10523"/>
    <w:rsid w:val="42E06803"/>
    <w:rsid w:val="42EB6588"/>
    <w:rsid w:val="430C21A0"/>
    <w:rsid w:val="43241548"/>
    <w:rsid w:val="43463664"/>
    <w:rsid w:val="435D3AAF"/>
    <w:rsid w:val="43634B09"/>
    <w:rsid w:val="43807477"/>
    <w:rsid w:val="4392106E"/>
    <w:rsid w:val="43B500B4"/>
    <w:rsid w:val="43D85B1F"/>
    <w:rsid w:val="43DD4EEC"/>
    <w:rsid w:val="43F946E1"/>
    <w:rsid w:val="440466E2"/>
    <w:rsid w:val="442D1BC5"/>
    <w:rsid w:val="4434470C"/>
    <w:rsid w:val="44366370"/>
    <w:rsid w:val="443D3A34"/>
    <w:rsid w:val="445E5637"/>
    <w:rsid w:val="44981078"/>
    <w:rsid w:val="44A16F18"/>
    <w:rsid w:val="44A83DE9"/>
    <w:rsid w:val="44BC2027"/>
    <w:rsid w:val="44F116AF"/>
    <w:rsid w:val="44F60D3B"/>
    <w:rsid w:val="45123DA7"/>
    <w:rsid w:val="451C1221"/>
    <w:rsid w:val="453D16D1"/>
    <w:rsid w:val="45400FCA"/>
    <w:rsid w:val="45436E3E"/>
    <w:rsid w:val="454C2D1E"/>
    <w:rsid w:val="45547448"/>
    <w:rsid w:val="45640838"/>
    <w:rsid w:val="459A4A6A"/>
    <w:rsid w:val="45A240F6"/>
    <w:rsid w:val="45B815F9"/>
    <w:rsid w:val="45C706A7"/>
    <w:rsid w:val="45CD365A"/>
    <w:rsid w:val="45E134DF"/>
    <w:rsid w:val="464F377E"/>
    <w:rsid w:val="465727F3"/>
    <w:rsid w:val="469E4B40"/>
    <w:rsid w:val="469F58AA"/>
    <w:rsid w:val="46DB0EC6"/>
    <w:rsid w:val="46EA6638"/>
    <w:rsid w:val="46EF3359"/>
    <w:rsid w:val="46F10E6D"/>
    <w:rsid w:val="46F61444"/>
    <w:rsid w:val="4714780F"/>
    <w:rsid w:val="472A019F"/>
    <w:rsid w:val="472E6940"/>
    <w:rsid w:val="47314B7A"/>
    <w:rsid w:val="473221FC"/>
    <w:rsid w:val="473D0B47"/>
    <w:rsid w:val="473F7C8A"/>
    <w:rsid w:val="475A0A94"/>
    <w:rsid w:val="47650970"/>
    <w:rsid w:val="476548ED"/>
    <w:rsid w:val="477016AA"/>
    <w:rsid w:val="47715499"/>
    <w:rsid w:val="47892B66"/>
    <w:rsid w:val="4792449F"/>
    <w:rsid w:val="4793008C"/>
    <w:rsid w:val="47CA1D7E"/>
    <w:rsid w:val="47CB2A4A"/>
    <w:rsid w:val="47DA5AB3"/>
    <w:rsid w:val="48225684"/>
    <w:rsid w:val="48323279"/>
    <w:rsid w:val="48455E4E"/>
    <w:rsid w:val="48462AEF"/>
    <w:rsid w:val="48485596"/>
    <w:rsid w:val="485B7980"/>
    <w:rsid w:val="486239ED"/>
    <w:rsid w:val="48695857"/>
    <w:rsid w:val="487C5C69"/>
    <w:rsid w:val="489C5B31"/>
    <w:rsid w:val="48DD6E48"/>
    <w:rsid w:val="48F66D91"/>
    <w:rsid w:val="48F67B1C"/>
    <w:rsid w:val="49014BE4"/>
    <w:rsid w:val="49131E21"/>
    <w:rsid w:val="49166AD3"/>
    <w:rsid w:val="491A4954"/>
    <w:rsid w:val="493037EA"/>
    <w:rsid w:val="494147A9"/>
    <w:rsid w:val="494B024B"/>
    <w:rsid w:val="495D37CE"/>
    <w:rsid w:val="496C1FD7"/>
    <w:rsid w:val="49846D09"/>
    <w:rsid w:val="4986229B"/>
    <w:rsid w:val="49C806A7"/>
    <w:rsid w:val="49E14C21"/>
    <w:rsid w:val="49E30A12"/>
    <w:rsid w:val="4A0C4418"/>
    <w:rsid w:val="4A33504D"/>
    <w:rsid w:val="4A355E70"/>
    <w:rsid w:val="4A3A5F04"/>
    <w:rsid w:val="4A3B1AE9"/>
    <w:rsid w:val="4A4006F9"/>
    <w:rsid w:val="4A55627C"/>
    <w:rsid w:val="4A5E2EA3"/>
    <w:rsid w:val="4A7767BE"/>
    <w:rsid w:val="4A813A0B"/>
    <w:rsid w:val="4A8D4211"/>
    <w:rsid w:val="4AAE669A"/>
    <w:rsid w:val="4AC455D0"/>
    <w:rsid w:val="4AC93FB4"/>
    <w:rsid w:val="4ACF78C8"/>
    <w:rsid w:val="4AD41A8A"/>
    <w:rsid w:val="4AF265F2"/>
    <w:rsid w:val="4AFF24AC"/>
    <w:rsid w:val="4B242AB1"/>
    <w:rsid w:val="4B254E21"/>
    <w:rsid w:val="4B296906"/>
    <w:rsid w:val="4B4720E0"/>
    <w:rsid w:val="4B590787"/>
    <w:rsid w:val="4B7B68F5"/>
    <w:rsid w:val="4B823394"/>
    <w:rsid w:val="4BAB5395"/>
    <w:rsid w:val="4BB71B6F"/>
    <w:rsid w:val="4BDD4FA9"/>
    <w:rsid w:val="4BE92A30"/>
    <w:rsid w:val="4BF968D1"/>
    <w:rsid w:val="4BFD6DB9"/>
    <w:rsid w:val="4C254CFD"/>
    <w:rsid w:val="4C2A174E"/>
    <w:rsid w:val="4C3831BE"/>
    <w:rsid w:val="4C64373D"/>
    <w:rsid w:val="4C696B67"/>
    <w:rsid w:val="4C727882"/>
    <w:rsid w:val="4C7C78E8"/>
    <w:rsid w:val="4C972FFB"/>
    <w:rsid w:val="4C974E84"/>
    <w:rsid w:val="4C980421"/>
    <w:rsid w:val="4C9B6BB4"/>
    <w:rsid w:val="4CAE5CD4"/>
    <w:rsid w:val="4CAE6883"/>
    <w:rsid w:val="4CB019C7"/>
    <w:rsid w:val="4CBE1858"/>
    <w:rsid w:val="4CC26E69"/>
    <w:rsid w:val="4CD47186"/>
    <w:rsid w:val="4D0C4BCD"/>
    <w:rsid w:val="4D377EC6"/>
    <w:rsid w:val="4D384BB3"/>
    <w:rsid w:val="4D483B8B"/>
    <w:rsid w:val="4D55000C"/>
    <w:rsid w:val="4D5633D6"/>
    <w:rsid w:val="4D5B08CD"/>
    <w:rsid w:val="4D913654"/>
    <w:rsid w:val="4D9C0793"/>
    <w:rsid w:val="4DCF78E3"/>
    <w:rsid w:val="4DFB2846"/>
    <w:rsid w:val="4DFD5A96"/>
    <w:rsid w:val="4E0B3A22"/>
    <w:rsid w:val="4E2962B6"/>
    <w:rsid w:val="4E38413C"/>
    <w:rsid w:val="4E3B2CBB"/>
    <w:rsid w:val="4E406647"/>
    <w:rsid w:val="4E4568E3"/>
    <w:rsid w:val="4E5A6E51"/>
    <w:rsid w:val="4E8C4B32"/>
    <w:rsid w:val="4E8E6C16"/>
    <w:rsid w:val="4E931525"/>
    <w:rsid w:val="4EB85BA1"/>
    <w:rsid w:val="4EC0191E"/>
    <w:rsid w:val="4EE34311"/>
    <w:rsid w:val="4EEF2AA5"/>
    <w:rsid w:val="4EF01880"/>
    <w:rsid w:val="4EFA61AB"/>
    <w:rsid w:val="4EFA7E02"/>
    <w:rsid w:val="4F0374EB"/>
    <w:rsid w:val="4F044AA5"/>
    <w:rsid w:val="4F053327"/>
    <w:rsid w:val="4F1B5C58"/>
    <w:rsid w:val="4F5F239D"/>
    <w:rsid w:val="4F8812E6"/>
    <w:rsid w:val="4FC57B3E"/>
    <w:rsid w:val="4FC60C9A"/>
    <w:rsid w:val="4FE74E3D"/>
    <w:rsid w:val="5003573D"/>
    <w:rsid w:val="501852F6"/>
    <w:rsid w:val="502D0365"/>
    <w:rsid w:val="5039179F"/>
    <w:rsid w:val="50700185"/>
    <w:rsid w:val="50711361"/>
    <w:rsid w:val="508900CB"/>
    <w:rsid w:val="509544DF"/>
    <w:rsid w:val="50AA76AE"/>
    <w:rsid w:val="50B46C07"/>
    <w:rsid w:val="50CF6A9A"/>
    <w:rsid w:val="50E23CD2"/>
    <w:rsid w:val="510D5348"/>
    <w:rsid w:val="51194870"/>
    <w:rsid w:val="511E61C1"/>
    <w:rsid w:val="511F7C48"/>
    <w:rsid w:val="51267797"/>
    <w:rsid w:val="51545B52"/>
    <w:rsid w:val="51610BDC"/>
    <w:rsid w:val="5163490C"/>
    <w:rsid w:val="516579E1"/>
    <w:rsid w:val="51673178"/>
    <w:rsid w:val="51724D42"/>
    <w:rsid w:val="51887AD4"/>
    <w:rsid w:val="51A338BA"/>
    <w:rsid w:val="51AE2B4F"/>
    <w:rsid w:val="51B06399"/>
    <w:rsid w:val="51C376C9"/>
    <w:rsid w:val="51CD13EA"/>
    <w:rsid w:val="51E12943"/>
    <w:rsid w:val="521E768C"/>
    <w:rsid w:val="5239362D"/>
    <w:rsid w:val="52474F68"/>
    <w:rsid w:val="526B73CF"/>
    <w:rsid w:val="52721AC8"/>
    <w:rsid w:val="52881F8E"/>
    <w:rsid w:val="529B2C80"/>
    <w:rsid w:val="529F4B6B"/>
    <w:rsid w:val="52A92632"/>
    <w:rsid w:val="52BD27EC"/>
    <w:rsid w:val="52D248D7"/>
    <w:rsid w:val="52D35254"/>
    <w:rsid w:val="52D54B1D"/>
    <w:rsid w:val="52EC6284"/>
    <w:rsid w:val="52ED4F0A"/>
    <w:rsid w:val="52F91D4F"/>
    <w:rsid w:val="530613ED"/>
    <w:rsid w:val="5306245A"/>
    <w:rsid w:val="53064994"/>
    <w:rsid w:val="530C4CB8"/>
    <w:rsid w:val="534B4B5E"/>
    <w:rsid w:val="537C7499"/>
    <w:rsid w:val="5387696D"/>
    <w:rsid w:val="538A3C94"/>
    <w:rsid w:val="539849FB"/>
    <w:rsid w:val="539B4692"/>
    <w:rsid w:val="53A51307"/>
    <w:rsid w:val="53A545C9"/>
    <w:rsid w:val="53BE0BD0"/>
    <w:rsid w:val="53C56DE9"/>
    <w:rsid w:val="53DB0101"/>
    <w:rsid w:val="53F61869"/>
    <w:rsid w:val="53FD30CA"/>
    <w:rsid w:val="53FE06EC"/>
    <w:rsid w:val="54132214"/>
    <w:rsid w:val="54156AA5"/>
    <w:rsid w:val="544823F7"/>
    <w:rsid w:val="544907B8"/>
    <w:rsid w:val="544A2BDB"/>
    <w:rsid w:val="54807066"/>
    <w:rsid w:val="54871B2F"/>
    <w:rsid w:val="548912AC"/>
    <w:rsid w:val="54961357"/>
    <w:rsid w:val="549F7384"/>
    <w:rsid w:val="54AB6167"/>
    <w:rsid w:val="54B84421"/>
    <w:rsid w:val="54BD4D39"/>
    <w:rsid w:val="55225D49"/>
    <w:rsid w:val="55336EE4"/>
    <w:rsid w:val="553B4A67"/>
    <w:rsid w:val="55422370"/>
    <w:rsid w:val="557B5D19"/>
    <w:rsid w:val="5586362E"/>
    <w:rsid w:val="55882E81"/>
    <w:rsid w:val="558A09FA"/>
    <w:rsid w:val="55921EE7"/>
    <w:rsid w:val="55D26988"/>
    <w:rsid w:val="55E51754"/>
    <w:rsid w:val="55E769F1"/>
    <w:rsid w:val="55E811A1"/>
    <w:rsid w:val="55F95201"/>
    <w:rsid w:val="55FB5C89"/>
    <w:rsid w:val="55FD0126"/>
    <w:rsid w:val="560876C8"/>
    <w:rsid w:val="561D73FE"/>
    <w:rsid w:val="563220C5"/>
    <w:rsid w:val="56374BC7"/>
    <w:rsid w:val="565854D7"/>
    <w:rsid w:val="56650B8D"/>
    <w:rsid w:val="566E1F00"/>
    <w:rsid w:val="5681584B"/>
    <w:rsid w:val="56841CD0"/>
    <w:rsid w:val="568D270E"/>
    <w:rsid w:val="56962398"/>
    <w:rsid w:val="569F3ED6"/>
    <w:rsid w:val="56AD7B09"/>
    <w:rsid w:val="56B90206"/>
    <w:rsid w:val="56C43DC0"/>
    <w:rsid w:val="56CB3DE4"/>
    <w:rsid w:val="56D20634"/>
    <w:rsid w:val="56E714F1"/>
    <w:rsid w:val="57224DCE"/>
    <w:rsid w:val="572869DE"/>
    <w:rsid w:val="572A584E"/>
    <w:rsid w:val="573667F6"/>
    <w:rsid w:val="574421BB"/>
    <w:rsid w:val="5749369A"/>
    <w:rsid w:val="57631A47"/>
    <w:rsid w:val="5792214F"/>
    <w:rsid w:val="57A01D57"/>
    <w:rsid w:val="57B03AE0"/>
    <w:rsid w:val="57FA63CB"/>
    <w:rsid w:val="58005F86"/>
    <w:rsid w:val="58180C06"/>
    <w:rsid w:val="5836615C"/>
    <w:rsid w:val="585257D3"/>
    <w:rsid w:val="585723F8"/>
    <w:rsid w:val="5876238F"/>
    <w:rsid w:val="587B0D14"/>
    <w:rsid w:val="587E055E"/>
    <w:rsid w:val="58A736BC"/>
    <w:rsid w:val="58AA746B"/>
    <w:rsid w:val="58C6167F"/>
    <w:rsid w:val="58CB67B3"/>
    <w:rsid w:val="58D741F6"/>
    <w:rsid w:val="58DF41BE"/>
    <w:rsid w:val="590205FB"/>
    <w:rsid w:val="592C2655"/>
    <w:rsid w:val="59346FA0"/>
    <w:rsid w:val="593C455E"/>
    <w:rsid w:val="594F4F4F"/>
    <w:rsid w:val="595D6B44"/>
    <w:rsid w:val="59604A73"/>
    <w:rsid w:val="59686E0C"/>
    <w:rsid w:val="598C1450"/>
    <w:rsid w:val="59962E70"/>
    <w:rsid w:val="59A87610"/>
    <w:rsid w:val="59B7430D"/>
    <w:rsid w:val="59D101E7"/>
    <w:rsid w:val="59D434E9"/>
    <w:rsid w:val="59D73440"/>
    <w:rsid w:val="5A00469B"/>
    <w:rsid w:val="5A073192"/>
    <w:rsid w:val="5A3A0789"/>
    <w:rsid w:val="5A425180"/>
    <w:rsid w:val="5A5765C3"/>
    <w:rsid w:val="5A5C5968"/>
    <w:rsid w:val="5A6438B2"/>
    <w:rsid w:val="5A9573FD"/>
    <w:rsid w:val="5AA040E9"/>
    <w:rsid w:val="5AA335BE"/>
    <w:rsid w:val="5AB7478A"/>
    <w:rsid w:val="5ABE0C25"/>
    <w:rsid w:val="5ACB42EB"/>
    <w:rsid w:val="5ACD6E0D"/>
    <w:rsid w:val="5B017BFB"/>
    <w:rsid w:val="5B096AC7"/>
    <w:rsid w:val="5B3604F6"/>
    <w:rsid w:val="5B4313A2"/>
    <w:rsid w:val="5B436603"/>
    <w:rsid w:val="5B620B2A"/>
    <w:rsid w:val="5B6509E3"/>
    <w:rsid w:val="5B790E6F"/>
    <w:rsid w:val="5B8A48B4"/>
    <w:rsid w:val="5BC23A04"/>
    <w:rsid w:val="5BD36E67"/>
    <w:rsid w:val="5BDC6D89"/>
    <w:rsid w:val="5BEA55A8"/>
    <w:rsid w:val="5BFF479E"/>
    <w:rsid w:val="5C064ABB"/>
    <w:rsid w:val="5C0A6FFB"/>
    <w:rsid w:val="5C0C77D9"/>
    <w:rsid w:val="5C1D33D9"/>
    <w:rsid w:val="5C284973"/>
    <w:rsid w:val="5C530ED8"/>
    <w:rsid w:val="5C582D52"/>
    <w:rsid w:val="5C6C6D8A"/>
    <w:rsid w:val="5C8A104D"/>
    <w:rsid w:val="5CBE3CF8"/>
    <w:rsid w:val="5CDD45EE"/>
    <w:rsid w:val="5D251632"/>
    <w:rsid w:val="5D454A4D"/>
    <w:rsid w:val="5D5052D8"/>
    <w:rsid w:val="5D5F3C23"/>
    <w:rsid w:val="5D87322C"/>
    <w:rsid w:val="5DD13C33"/>
    <w:rsid w:val="5DE716AD"/>
    <w:rsid w:val="5DEA1DE7"/>
    <w:rsid w:val="5DEC65C8"/>
    <w:rsid w:val="5DF1577C"/>
    <w:rsid w:val="5DF36DC8"/>
    <w:rsid w:val="5DF855E0"/>
    <w:rsid w:val="5E0D667D"/>
    <w:rsid w:val="5E122043"/>
    <w:rsid w:val="5E192384"/>
    <w:rsid w:val="5E1F7F85"/>
    <w:rsid w:val="5E3B3740"/>
    <w:rsid w:val="5E483D62"/>
    <w:rsid w:val="5E493A5C"/>
    <w:rsid w:val="5E64417E"/>
    <w:rsid w:val="5E84688E"/>
    <w:rsid w:val="5E8F612B"/>
    <w:rsid w:val="5EA843AD"/>
    <w:rsid w:val="5EB21C0F"/>
    <w:rsid w:val="5EFF3890"/>
    <w:rsid w:val="5F0C7A53"/>
    <w:rsid w:val="5F1F7F8C"/>
    <w:rsid w:val="5F27070E"/>
    <w:rsid w:val="5F6A602E"/>
    <w:rsid w:val="5F75764C"/>
    <w:rsid w:val="5F771EFA"/>
    <w:rsid w:val="5F992819"/>
    <w:rsid w:val="5FA17874"/>
    <w:rsid w:val="5FC04D04"/>
    <w:rsid w:val="5FC22292"/>
    <w:rsid w:val="5FFB56B4"/>
    <w:rsid w:val="60022888"/>
    <w:rsid w:val="600A2C78"/>
    <w:rsid w:val="6010673F"/>
    <w:rsid w:val="609629F2"/>
    <w:rsid w:val="60A357A4"/>
    <w:rsid w:val="60F11DC5"/>
    <w:rsid w:val="60F65017"/>
    <w:rsid w:val="610B6964"/>
    <w:rsid w:val="611207AA"/>
    <w:rsid w:val="61136860"/>
    <w:rsid w:val="6122041B"/>
    <w:rsid w:val="612E0D87"/>
    <w:rsid w:val="613A0DB6"/>
    <w:rsid w:val="61691D3F"/>
    <w:rsid w:val="6169244F"/>
    <w:rsid w:val="616F671B"/>
    <w:rsid w:val="61731704"/>
    <w:rsid w:val="61841BAB"/>
    <w:rsid w:val="619A2B89"/>
    <w:rsid w:val="61C57341"/>
    <w:rsid w:val="61C73C9B"/>
    <w:rsid w:val="61FF2C27"/>
    <w:rsid w:val="62074D84"/>
    <w:rsid w:val="6208559B"/>
    <w:rsid w:val="62227ED9"/>
    <w:rsid w:val="62331C78"/>
    <w:rsid w:val="62355F76"/>
    <w:rsid w:val="623C240E"/>
    <w:rsid w:val="62454412"/>
    <w:rsid w:val="62632A55"/>
    <w:rsid w:val="627834B8"/>
    <w:rsid w:val="628D5EE0"/>
    <w:rsid w:val="628D761D"/>
    <w:rsid w:val="62AD1C01"/>
    <w:rsid w:val="62BE6C6F"/>
    <w:rsid w:val="62C46F21"/>
    <w:rsid w:val="62C8283C"/>
    <w:rsid w:val="62D20F64"/>
    <w:rsid w:val="62EE5550"/>
    <w:rsid w:val="63221133"/>
    <w:rsid w:val="63342AE8"/>
    <w:rsid w:val="634A134A"/>
    <w:rsid w:val="63546592"/>
    <w:rsid w:val="635E5111"/>
    <w:rsid w:val="63707ABD"/>
    <w:rsid w:val="63867B04"/>
    <w:rsid w:val="638C6978"/>
    <w:rsid w:val="639468EE"/>
    <w:rsid w:val="63996AA0"/>
    <w:rsid w:val="63A96ADD"/>
    <w:rsid w:val="64345411"/>
    <w:rsid w:val="645248E2"/>
    <w:rsid w:val="6453690E"/>
    <w:rsid w:val="646B6069"/>
    <w:rsid w:val="64AB7B1E"/>
    <w:rsid w:val="64BA26BE"/>
    <w:rsid w:val="64C05EF0"/>
    <w:rsid w:val="64C1392E"/>
    <w:rsid w:val="64C61B4A"/>
    <w:rsid w:val="64C97B31"/>
    <w:rsid w:val="64E2147E"/>
    <w:rsid w:val="64E27551"/>
    <w:rsid w:val="64EE1840"/>
    <w:rsid w:val="64F225D8"/>
    <w:rsid w:val="64FC7781"/>
    <w:rsid w:val="6513128A"/>
    <w:rsid w:val="65151DC3"/>
    <w:rsid w:val="651B14CB"/>
    <w:rsid w:val="65204496"/>
    <w:rsid w:val="65242D8B"/>
    <w:rsid w:val="652E5F83"/>
    <w:rsid w:val="65304D07"/>
    <w:rsid w:val="653C0FF1"/>
    <w:rsid w:val="65443D2D"/>
    <w:rsid w:val="656A3CD1"/>
    <w:rsid w:val="65733D3A"/>
    <w:rsid w:val="65791C30"/>
    <w:rsid w:val="657C0445"/>
    <w:rsid w:val="65856B17"/>
    <w:rsid w:val="658C243F"/>
    <w:rsid w:val="65955494"/>
    <w:rsid w:val="65B8193C"/>
    <w:rsid w:val="65C80382"/>
    <w:rsid w:val="65CB6F05"/>
    <w:rsid w:val="65CD04F6"/>
    <w:rsid w:val="65ED558C"/>
    <w:rsid w:val="65F91767"/>
    <w:rsid w:val="66031898"/>
    <w:rsid w:val="661A4B61"/>
    <w:rsid w:val="66291DB8"/>
    <w:rsid w:val="662D3B73"/>
    <w:rsid w:val="667A2F99"/>
    <w:rsid w:val="6695771E"/>
    <w:rsid w:val="66A029AD"/>
    <w:rsid w:val="66A66AE6"/>
    <w:rsid w:val="66D8098D"/>
    <w:rsid w:val="66E025CC"/>
    <w:rsid w:val="66FC2D51"/>
    <w:rsid w:val="671B2D1C"/>
    <w:rsid w:val="67806F86"/>
    <w:rsid w:val="678D7CE3"/>
    <w:rsid w:val="67A943BF"/>
    <w:rsid w:val="67A94CBF"/>
    <w:rsid w:val="67BA09EF"/>
    <w:rsid w:val="67BE335F"/>
    <w:rsid w:val="67DA2CB1"/>
    <w:rsid w:val="67FA3365"/>
    <w:rsid w:val="67FC3EAE"/>
    <w:rsid w:val="680B1F8D"/>
    <w:rsid w:val="68166D70"/>
    <w:rsid w:val="681E0AB6"/>
    <w:rsid w:val="68335E0E"/>
    <w:rsid w:val="68365420"/>
    <w:rsid w:val="6839014C"/>
    <w:rsid w:val="6849273E"/>
    <w:rsid w:val="686160D9"/>
    <w:rsid w:val="688E2888"/>
    <w:rsid w:val="689F283C"/>
    <w:rsid w:val="68AD63BA"/>
    <w:rsid w:val="68B757A2"/>
    <w:rsid w:val="68BE2E71"/>
    <w:rsid w:val="68C34758"/>
    <w:rsid w:val="68CC2AA1"/>
    <w:rsid w:val="68F96877"/>
    <w:rsid w:val="68FF3EA9"/>
    <w:rsid w:val="69086AC5"/>
    <w:rsid w:val="691C3270"/>
    <w:rsid w:val="692451EF"/>
    <w:rsid w:val="692B2253"/>
    <w:rsid w:val="693F333C"/>
    <w:rsid w:val="694B53FE"/>
    <w:rsid w:val="69563E31"/>
    <w:rsid w:val="69653103"/>
    <w:rsid w:val="698A6049"/>
    <w:rsid w:val="699A7ACA"/>
    <w:rsid w:val="69A542F7"/>
    <w:rsid w:val="69BB2851"/>
    <w:rsid w:val="69BC1808"/>
    <w:rsid w:val="69C00923"/>
    <w:rsid w:val="69DD4CB5"/>
    <w:rsid w:val="69E83A8F"/>
    <w:rsid w:val="69F4018C"/>
    <w:rsid w:val="69F9708B"/>
    <w:rsid w:val="69F976D2"/>
    <w:rsid w:val="69FE5173"/>
    <w:rsid w:val="6A026635"/>
    <w:rsid w:val="6A0F64E3"/>
    <w:rsid w:val="6A1A6281"/>
    <w:rsid w:val="6A2252EF"/>
    <w:rsid w:val="6A327725"/>
    <w:rsid w:val="6A3730BF"/>
    <w:rsid w:val="6A3938B4"/>
    <w:rsid w:val="6A505059"/>
    <w:rsid w:val="6A5C6644"/>
    <w:rsid w:val="6A86426E"/>
    <w:rsid w:val="6AB03291"/>
    <w:rsid w:val="6AB122B9"/>
    <w:rsid w:val="6AB61E5D"/>
    <w:rsid w:val="6ABB4D6C"/>
    <w:rsid w:val="6AD17328"/>
    <w:rsid w:val="6AE35D91"/>
    <w:rsid w:val="6AF81169"/>
    <w:rsid w:val="6AFE102F"/>
    <w:rsid w:val="6B0E3248"/>
    <w:rsid w:val="6B423E92"/>
    <w:rsid w:val="6B526989"/>
    <w:rsid w:val="6B617A04"/>
    <w:rsid w:val="6B637341"/>
    <w:rsid w:val="6B7A27A3"/>
    <w:rsid w:val="6B86088D"/>
    <w:rsid w:val="6B982D88"/>
    <w:rsid w:val="6B9F7E2D"/>
    <w:rsid w:val="6BA00B5E"/>
    <w:rsid w:val="6BA97607"/>
    <w:rsid w:val="6BCF7182"/>
    <w:rsid w:val="6C2757DC"/>
    <w:rsid w:val="6C3155E8"/>
    <w:rsid w:val="6C516E08"/>
    <w:rsid w:val="6C7064E3"/>
    <w:rsid w:val="6C7F40AB"/>
    <w:rsid w:val="6C92348F"/>
    <w:rsid w:val="6CB20A1C"/>
    <w:rsid w:val="6CE610D0"/>
    <w:rsid w:val="6CEF6A4E"/>
    <w:rsid w:val="6CFE20D1"/>
    <w:rsid w:val="6D2857F9"/>
    <w:rsid w:val="6D42080D"/>
    <w:rsid w:val="6D596388"/>
    <w:rsid w:val="6D616B90"/>
    <w:rsid w:val="6D88255C"/>
    <w:rsid w:val="6DA93BA4"/>
    <w:rsid w:val="6DD14400"/>
    <w:rsid w:val="6DE30E0A"/>
    <w:rsid w:val="6E01628C"/>
    <w:rsid w:val="6E0E24E5"/>
    <w:rsid w:val="6E0E38E0"/>
    <w:rsid w:val="6E103E51"/>
    <w:rsid w:val="6E134374"/>
    <w:rsid w:val="6E173A3F"/>
    <w:rsid w:val="6E243840"/>
    <w:rsid w:val="6E370C5B"/>
    <w:rsid w:val="6E5726B4"/>
    <w:rsid w:val="6E64006F"/>
    <w:rsid w:val="6E6F3435"/>
    <w:rsid w:val="6E797707"/>
    <w:rsid w:val="6E7A0D81"/>
    <w:rsid w:val="6E8B2C36"/>
    <w:rsid w:val="6E997CD8"/>
    <w:rsid w:val="6E9A0D07"/>
    <w:rsid w:val="6E9E6374"/>
    <w:rsid w:val="6EB935F8"/>
    <w:rsid w:val="6EED3D99"/>
    <w:rsid w:val="6F001202"/>
    <w:rsid w:val="6F10475C"/>
    <w:rsid w:val="6F1C1345"/>
    <w:rsid w:val="6F2701CF"/>
    <w:rsid w:val="6F2D3FD7"/>
    <w:rsid w:val="6F527367"/>
    <w:rsid w:val="6F890E79"/>
    <w:rsid w:val="6F8F0827"/>
    <w:rsid w:val="6F93680F"/>
    <w:rsid w:val="6F977AB9"/>
    <w:rsid w:val="6F9D2858"/>
    <w:rsid w:val="6F9E4392"/>
    <w:rsid w:val="6FA455C1"/>
    <w:rsid w:val="6FB86469"/>
    <w:rsid w:val="6FF91F2C"/>
    <w:rsid w:val="6FF967AE"/>
    <w:rsid w:val="70027912"/>
    <w:rsid w:val="70083EE1"/>
    <w:rsid w:val="7014541A"/>
    <w:rsid w:val="701C115B"/>
    <w:rsid w:val="70297A19"/>
    <w:rsid w:val="707644CE"/>
    <w:rsid w:val="707747D9"/>
    <w:rsid w:val="707B351C"/>
    <w:rsid w:val="708C4C7D"/>
    <w:rsid w:val="709B0254"/>
    <w:rsid w:val="70B80039"/>
    <w:rsid w:val="70BD5DB8"/>
    <w:rsid w:val="70D04A3F"/>
    <w:rsid w:val="70D13B24"/>
    <w:rsid w:val="710A2B1B"/>
    <w:rsid w:val="710B2334"/>
    <w:rsid w:val="711070CE"/>
    <w:rsid w:val="71114BCB"/>
    <w:rsid w:val="71223020"/>
    <w:rsid w:val="7124705F"/>
    <w:rsid w:val="7144782C"/>
    <w:rsid w:val="715909B7"/>
    <w:rsid w:val="715E6B8E"/>
    <w:rsid w:val="71715ABA"/>
    <w:rsid w:val="717670B4"/>
    <w:rsid w:val="717A60BD"/>
    <w:rsid w:val="717E241D"/>
    <w:rsid w:val="71871E39"/>
    <w:rsid w:val="719B65AD"/>
    <w:rsid w:val="71B424EF"/>
    <w:rsid w:val="71B63736"/>
    <w:rsid w:val="71D12359"/>
    <w:rsid w:val="71EA595C"/>
    <w:rsid w:val="71F05091"/>
    <w:rsid w:val="71FA2E0E"/>
    <w:rsid w:val="720E4CEE"/>
    <w:rsid w:val="72212C03"/>
    <w:rsid w:val="726E5A3C"/>
    <w:rsid w:val="72876B08"/>
    <w:rsid w:val="728966E6"/>
    <w:rsid w:val="72951CB9"/>
    <w:rsid w:val="72DE2A3D"/>
    <w:rsid w:val="72E71B2D"/>
    <w:rsid w:val="733571EB"/>
    <w:rsid w:val="733B7D07"/>
    <w:rsid w:val="7340033A"/>
    <w:rsid w:val="735F2D0A"/>
    <w:rsid w:val="738020BF"/>
    <w:rsid w:val="738C6FB8"/>
    <w:rsid w:val="73967D2B"/>
    <w:rsid w:val="73BD0A67"/>
    <w:rsid w:val="73CE64D8"/>
    <w:rsid w:val="73F41A55"/>
    <w:rsid w:val="74085307"/>
    <w:rsid w:val="7409017F"/>
    <w:rsid w:val="74473A8B"/>
    <w:rsid w:val="74687795"/>
    <w:rsid w:val="74701EB3"/>
    <w:rsid w:val="74846D1C"/>
    <w:rsid w:val="74921962"/>
    <w:rsid w:val="74A56481"/>
    <w:rsid w:val="74AB684F"/>
    <w:rsid w:val="74D627B4"/>
    <w:rsid w:val="74DD2925"/>
    <w:rsid w:val="74EF1269"/>
    <w:rsid w:val="75152A5B"/>
    <w:rsid w:val="751A561B"/>
    <w:rsid w:val="75290103"/>
    <w:rsid w:val="754A5702"/>
    <w:rsid w:val="75664186"/>
    <w:rsid w:val="757434D5"/>
    <w:rsid w:val="757C6DA1"/>
    <w:rsid w:val="758C4DFB"/>
    <w:rsid w:val="758D7FBA"/>
    <w:rsid w:val="75A02D1B"/>
    <w:rsid w:val="75AB497E"/>
    <w:rsid w:val="75FC019B"/>
    <w:rsid w:val="76146E80"/>
    <w:rsid w:val="7614766E"/>
    <w:rsid w:val="76342E9E"/>
    <w:rsid w:val="764B20A0"/>
    <w:rsid w:val="76575814"/>
    <w:rsid w:val="767D2B08"/>
    <w:rsid w:val="769A5EDC"/>
    <w:rsid w:val="76A0441E"/>
    <w:rsid w:val="76A217AE"/>
    <w:rsid w:val="76A77D49"/>
    <w:rsid w:val="76C4217E"/>
    <w:rsid w:val="76C66FA7"/>
    <w:rsid w:val="76D01B7C"/>
    <w:rsid w:val="76DB156E"/>
    <w:rsid w:val="76EC1C42"/>
    <w:rsid w:val="77000F7A"/>
    <w:rsid w:val="77075DC3"/>
    <w:rsid w:val="770A01C9"/>
    <w:rsid w:val="771073C3"/>
    <w:rsid w:val="772B7B80"/>
    <w:rsid w:val="772C3202"/>
    <w:rsid w:val="77354D2A"/>
    <w:rsid w:val="77603757"/>
    <w:rsid w:val="77687A39"/>
    <w:rsid w:val="777C2D70"/>
    <w:rsid w:val="77D14FBF"/>
    <w:rsid w:val="77EB2B3A"/>
    <w:rsid w:val="77F118E0"/>
    <w:rsid w:val="780930E8"/>
    <w:rsid w:val="78241DF3"/>
    <w:rsid w:val="78284E98"/>
    <w:rsid w:val="785C7F0F"/>
    <w:rsid w:val="786F5F1A"/>
    <w:rsid w:val="78B01170"/>
    <w:rsid w:val="78B5523C"/>
    <w:rsid w:val="78BD0939"/>
    <w:rsid w:val="78C161BB"/>
    <w:rsid w:val="78D23FCC"/>
    <w:rsid w:val="78D85F08"/>
    <w:rsid w:val="78DE42D8"/>
    <w:rsid w:val="78DE7F0E"/>
    <w:rsid w:val="791C23D0"/>
    <w:rsid w:val="7921452F"/>
    <w:rsid w:val="7968378F"/>
    <w:rsid w:val="797271C0"/>
    <w:rsid w:val="7A1402FD"/>
    <w:rsid w:val="7A244BCF"/>
    <w:rsid w:val="7A285072"/>
    <w:rsid w:val="7A3B5936"/>
    <w:rsid w:val="7A436CE9"/>
    <w:rsid w:val="7A4B0CF3"/>
    <w:rsid w:val="7A720F41"/>
    <w:rsid w:val="7A72543A"/>
    <w:rsid w:val="7AA431FF"/>
    <w:rsid w:val="7AB10812"/>
    <w:rsid w:val="7AB76B47"/>
    <w:rsid w:val="7AD02A1F"/>
    <w:rsid w:val="7AD72825"/>
    <w:rsid w:val="7AE52AD3"/>
    <w:rsid w:val="7AE63ACB"/>
    <w:rsid w:val="7AEC5C04"/>
    <w:rsid w:val="7AF95F31"/>
    <w:rsid w:val="7B4534A7"/>
    <w:rsid w:val="7B5009A7"/>
    <w:rsid w:val="7B6876B2"/>
    <w:rsid w:val="7B733C01"/>
    <w:rsid w:val="7B9646A1"/>
    <w:rsid w:val="7BA231DF"/>
    <w:rsid w:val="7BB138E5"/>
    <w:rsid w:val="7BBC3B5E"/>
    <w:rsid w:val="7BCC488C"/>
    <w:rsid w:val="7BD94DE1"/>
    <w:rsid w:val="7C0E075F"/>
    <w:rsid w:val="7C101D32"/>
    <w:rsid w:val="7C1E5730"/>
    <w:rsid w:val="7C2219F6"/>
    <w:rsid w:val="7C272789"/>
    <w:rsid w:val="7C3145B7"/>
    <w:rsid w:val="7C376A23"/>
    <w:rsid w:val="7C404DA2"/>
    <w:rsid w:val="7C426362"/>
    <w:rsid w:val="7C773728"/>
    <w:rsid w:val="7C964F7C"/>
    <w:rsid w:val="7C9A2ED5"/>
    <w:rsid w:val="7CE64184"/>
    <w:rsid w:val="7D0124DF"/>
    <w:rsid w:val="7D141C7E"/>
    <w:rsid w:val="7D1B54A3"/>
    <w:rsid w:val="7D295752"/>
    <w:rsid w:val="7D3B5836"/>
    <w:rsid w:val="7D3F7ED8"/>
    <w:rsid w:val="7D4E4A01"/>
    <w:rsid w:val="7D560CB4"/>
    <w:rsid w:val="7D606BDD"/>
    <w:rsid w:val="7D9A36BB"/>
    <w:rsid w:val="7DDE3467"/>
    <w:rsid w:val="7DDF622A"/>
    <w:rsid w:val="7DF70F75"/>
    <w:rsid w:val="7E237474"/>
    <w:rsid w:val="7E2F79C8"/>
    <w:rsid w:val="7E341810"/>
    <w:rsid w:val="7E365D8A"/>
    <w:rsid w:val="7E3A0428"/>
    <w:rsid w:val="7E4608BE"/>
    <w:rsid w:val="7E491633"/>
    <w:rsid w:val="7E4C220B"/>
    <w:rsid w:val="7E5C6C18"/>
    <w:rsid w:val="7E7C4523"/>
    <w:rsid w:val="7EA67CB6"/>
    <w:rsid w:val="7ED014B1"/>
    <w:rsid w:val="7ED61DDB"/>
    <w:rsid w:val="7EDF0004"/>
    <w:rsid w:val="7EE45877"/>
    <w:rsid w:val="7EF64E75"/>
    <w:rsid w:val="7F1C418F"/>
    <w:rsid w:val="7F267D87"/>
    <w:rsid w:val="7F2E5A52"/>
    <w:rsid w:val="7F582516"/>
    <w:rsid w:val="7F5B5196"/>
    <w:rsid w:val="7F6F16FC"/>
    <w:rsid w:val="7F78771E"/>
    <w:rsid w:val="7F842A29"/>
    <w:rsid w:val="7F937FE8"/>
    <w:rsid w:val="7FBF522A"/>
    <w:rsid w:val="7FC21F4F"/>
    <w:rsid w:val="7FD31607"/>
    <w:rsid w:val="7FDB61FE"/>
    <w:rsid w:val="7FF40C3E"/>
    <w:rsid w:val="7FF77BB6"/>
    <w:rsid w:val="7FFF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70FDB"/>
  <w15:docId w15:val="{77D3F285-F66A-4921-825F-6702A052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rFonts w:ascii="Tahoma" w:hAnsi="Tahoma"/>
      <w:kern w:val="0"/>
      <w:sz w:val="34"/>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rPr>
      <w:rFonts w:ascii="仿宋_GB2312" w:eastAsia="仿宋_GB2312"/>
      <w:b/>
      <w:sz w:val="28"/>
      <w:szCs w:val="20"/>
    </w:rPr>
  </w:style>
  <w:style w:type="paragraph" w:styleId="a6">
    <w:name w:val="Normal (Web)"/>
    <w:basedOn w:val="a"/>
    <w:qFormat/>
    <w:pPr>
      <w:spacing w:beforeAutospacing="1" w:afterAutospacing="1"/>
      <w:jc w:val="left"/>
    </w:pPr>
    <w:rPr>
      <w:rFonts w:cs="Times New Roman"/>
      <w:kern w:val="0"/>
      <w:sz w:val="24"/>
    </w:rPr>
  </w:style>
  <w:style w:type="paragraph" w:styleId="a7">
    <w:name w:val="List Paragraph"/>
    <w:basedOn w:val="a"/>
    <w:uiPriority w:val="34"/>
    <w:qFormat/>
    <w:pPr>
      <w:spacing w:beforeLines="50" w:afterLines="50" w:line="36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yuping ling</cp:lastModifiedBy>
  <cp:revision>3</cp:revision>
  <cp:lastPrinted>2021-09-27T03:33:00Z</cp:lastPrinted>
  <dcterms:created xsi:type="dcterms:W3CDTF">2021-09-16T16:05:00Z</dcterms:created>
  <dcterms:modified xsi:type="dcterms:W3CDTF">2021-09-27T03:34:00Z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39522C5C17524D4AA45320AE4B86ACE8</vt:lpwstr>
  </property>
</Properties>
</file>